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BA" w:rsidRPr="00015533" w:rsidRDefault="003D5CBA" w:rsidP="0076154B">
      <w:pPr>
        <w:ind w:left="-709"/>
        <w:jc w:val="center"/>
        <w:rPr>
          <w:rFonts w:ascii="Arial" w:hAnsi="Arial" w:cs="Arial"/>
          <w:b/>
          <w:sz w:val="24"/>
          <w:szCs w:val="24"/>
          <w:u w:val="single"/>
        </w:rPr>
      </w:pPr>
      <w:r w:rsidRPr="00015533">
        <w:rPr>
          <w:rFonts w:ascii="Arial" w:hAnsi="Arial" w:cs="Arial"/>
          <w:b/>
          <w:sz w:val="24"/>
          <w:szCs w:val="24"/>
          <w:u w:val="single"/>
        </w:rPr>
        <w:t>WHAT’S DIFFERENT ABOUT THE</w:t>
      </w:r>
    </w:p>
    <w:p w:rsidR="003D5CBA" w:rsidRPr="00015533" w:rsidRDefault="001B0C3B" w:rsidP="0076154B">
      <w:pPr>
        <w:ind w:left="-709"/>
        <w:jc w:val="center"/>
        <w:rPr>
          <w:rFonts w:ascii="Arial" w:hAnsi="Arial" w:cs="Arial"/>
          <w:b/>
          <w:sz w:val="24"/>
          <w:szCs w:val="24"/>
          <w:u w:val="single"/>
        </w:rPr>
      </w:pPr>
      <w:r w:rsidRPr="00015533">
        <w:rPr>
          <w:rFonts w:ascii="Arial" w:hAnsi="Arial" w:cs="Arial"/>
          <w:b/>
          <w:sz w:val="24"/>
          <w:szCs w:val="24"/>
          <w:u w:val="single"/>
        </w:rPr>
        <w:t xml:space="preserve">ACT Public Service </w:t>
      </w:r>
      <w:r w:rsidR="00705FBA" w:rsidRPr="00015533">
        <w:rPr>
          <w:rFonts w:ascii="Arial" w:hAnsi="Arial" w:cs="Arial"/>
          <w:b/>
          <w:sz w:val="24"/>
          <w:szCs w:val="24"/>
          <w:u w:val="single"/>
        </w:rPr>
        <w:t>Nursing and Midwifery</w:t>
      </w:r>
      <w:r w:rsidRPr="00015533">
        <w:rPr>
          <w:rFonts w:ascii="Arial" w:hAnsi="Arial" w:cs="Arial"/>
          <w:b/>
          <w:sz w:val="24"/>
          <w:szCs w:val="24"/>
          <w:u w:val="single"/>
        </w:rPr>
        <w:t xml:space="preserve"> Enterprise Agreement</w:t>
      </w:r>
      <w:r w:rsidR="00F626AE" w:rsidRPr="00015533">
        <w:rPr>
          <w:rFonts w:ascii="Arial" w:hAnsi="Arial" w:cs="Arial"/>
          <w:b/>
          <w:sz w:val="24"/>
          <w:szCs w:val="24"/>
          <w:u w:val="single"/>
        </w:rPr>
        <w:t xml:space="preserve"> 201</w:t>
      </w:r>
      <w:r w:rsidR="00FD06A9" w:rsidRPr="00015533">
        <w:rPr>
          <w:rFonts w:ascii="Arial" w:hAnsi="Arial" w:cs="Arial"/>
          <w:b/>
          <w:sz w:val="24"/>
          <w:szCs w:val="24"/>
          <w:u w:val="single"/>
        </w:rPr>
        <w:t>3</w:t>
      </w:r>
      <w:r w:rsidR="00F626AE" w:rsidRPr="00015533">
        <w:rPr>
          <w:rFonts w:ascii="Arial" w:hAnsi="Arial" w:cs="Arial"/>
          <w:b/>
          <w:sz w:val="24"/>
          <w:szCs w:val="24"/>
          <w:u w:val="single"/>
        </w:rPr>
        <w:t>-201</w:t>
      </w:r>
      <w:r w:rsidR="00FD06A9" w:rsidRPr="00015533">
        <w:rPr>
          <w:rFonts w:ascii="Arial" w:hAnsi="Arial" w:cs="Arial"/>
          <w:b/>
          <w:sz w:val="24"/>
          <w:szCs w:val="24"/>
          <w:u w:val="single"/>
        </w:rPr>
        <w:t>7</w:t>
      </w:r>
    </w:p>
    <w:p w:rsidR="00F626AE" w:rsidRPr="00015533" w:rsidRDefault="00F626AE" w:rsidP="00D51BA4">
      <w:pPr>
        <w:spacing w:after="0"/>
        <w:ind w:left="-709"/>
        <w:jc w:val="both"/>
        <w:rPr>
          <w:rFonts w:ascii="Arial" w:hAnsi="Arial" w:cs="Arial"/>
          <w:sz w:val="20"/>
          <w:szCs w:val="20"/>
        </w:rPr>
      </w:pPr>
    </w:p>
    <w:p w:rsidR="003D5CBA" w:rsidRPr="00015533" w:rsidRDefault="003D5CBA" w:rsidP="00D51BA4">
      <w:pPr>
        <w:ind w:left="-709"/>
        <w:jc w:val="both"/>
        <w:rPr>
          <w:rFonts w:ascii="Arial" w:hAnsi="Arial" w:cs="Arial"/>
          <w:sz w:val="20"/>
          <w:szCs w:val="20"/>
        </w:rPr>
      </w:pPr>
      <w:r w:rsidRPr="00015533">
        <w:rPr>
          <w:rFonts w:ascii="Arial" w:hAnsi="Arial" w:cs="Arial"/>
          <w:sz w:val="20"/>
          <w:szCs w:val="20"/>
        </w:rPr>
        <w:t>T</w:t>
      </w:r>
      <w:r w:rsidR="00932795" w:rsidRPr="00015533">
        <w:rPr>
          <w:rFonts w:ascii="Arial" w:hAnsi="Arial" w:cs="Arial"/>
          <w:sz w:val="20"/>
          <w:szCs w:val="20"/>
        </w:rPr>
        <w:t>his document will help staff</w:t>
      </w:r>
      <w:r w:rsidRPr="00015533">
        <w:rPr>
          <w:rFonts w:ascii="Arial" w:hAnsi="Arial" w:cs="Arial"/>
          <w:sz w:val="20"/>
          <w:szCs w:val="20"/>
        </w:rPr>
        <w:t xml:space="preserve"> understand the key changes between the </w:t>
      </w:r>
      <w:r w:rsidR="009A4458">
        <w:rPr>
          <w:rFonts w:ascii="Arial" w:hAnsi="Arial" w:cs="Arial"/>
          <w:sz w:val="20"/>
          <w:szCs w:val="20"/>
        </w:rPr>
        <w:t>previous</w:t>
      </w:r>
      <w:r w:rsidRPr="00015533">
        <w:rPr>
          <w:rFonts w:ascii="Arial" w:hAnsi="Arial" w:cs="Arial"/>
          <w:sz w:val="20"/>
          <w:szCs w:val="20"/>
        </w:rPr>
        <w:t xml:space="preserve"> </w:t>
      </w:r>
      <w:r w:rsidR="00705FBA" w:rsidRPr="00015533">
        <w:rPr>
          <w:rFonts w:ascii="Arial" w:hAnsi="Arial" w:cs="Arial"/>
          <w:sz w:val="20"/>
          <w:szCs w:val="20"/>
        </w:rPr>
        <w:t>ACT Public S</w:t>
      </w:r>
      <w:r w:rsidR="006C5DD9">
        <w:rPr>
          <w:rFonts w:ascii="Arial" w:hAnsi="Arial" w:cs="Arial"/>
          <w:sz w:val="20"/>
          <w:szCs w:val="20"/>
        </w:rPr>
        <w:t>ervice</w:t>
      </w:r>
      <w:r w:rsidR="00705FBA" w:rsidRPr="00015533">
        <w:rPr>
          <w:rFonts w:ascii="Arial" w:hAnsi="Arial" w:cs="Arial"/>
          <w:sz w:val="20"/>
          <w:szCs w:val="20"/>
        </w:rPr>
        <w:t xml:space="preserve"> Nursing and Midwifery</w:t>
      </w:r>
      <w:r w:rsidR="001B0C3B" w:rsidRPr="00015533">
        <w:rPr>
          <w:rFonts w:ascii="Arial" w:hAnsi="Arial" w:cs="Arial"/>
          <w:sz w:val="20"/>
          <w:szCs w:val="20"/>
        </w:rPr>
        <w:t xml:space="preserve"> Enterprise Agreement 201</w:t>
      </w:r>
      <w:r w:rsidR="00FD06A9" w:rsidRPr="00015533">
        <w:rPr>
          <w:rFonts w:ascii="Arial" w:hAnsi="Arial" w:cs="Arial"/>
          <w:sz w:val="20"/>
          <w:szCs w:val="20"/>
        </w:rPr>
        <w:t>1</w:t>
      </w:r>
      <w:r w:rsidR="001B0C3B" w:rsidRPr="00015533">
        <w:rPr>
          <w:rFonts w:ascii="Arial" w:hAnsi="Arial" w:cs="Arial"/>
          <w:sz w:val="20"/>
          <w:szCs w:val="20"/>
        </w:rPr>
        <w:t>-201</w:t>
      </w:r>
      <w:r w:rsidR="00FD06A9" w:rsidRPr="00015533">
        <w:rPr>
          <w:rFonts w:ascii="Arial" w:hAnsi="Arial" w:cs="Arial"/>
          <w:sz w:val="20"/>
          <w:szCs w:val="20"/>
        </w:rPr>
        <w:t>3</w:t>
      </w:r>
      <w:r w:rsidRPr="00015533">
        <w:rPr>
          <w:rFonts w:ascii="Arial" w:hAnsi="Arial" w:cs="Arial"/>
          <w:sz w:val="20"/>
          <w:szCs w:val="20"/>
        </w:rPr>
        <w:t xml:space="preserve"> and the </w:t>
      </w:r>
      <w:r w:rsidR="009A4458">
        <w:rPr>
          <w:rFonts w:ascii="Arial" w:hAnsi="Arial" w:cs="Arial"/>
          <w:sz w:val="20"/>
          <w:szCs w:val="20"/>
        </w:rPr>
        <w:t>new</w:t>
      </w:r>
      <w:r w:rsidRPr="00015533">
        <w:rPr>
          <w:rFonts w:ascii="Arial" w:hAnsi="Arial" w:cs="Arial"/>
          <w:sz w:val="20"/>
          <w:szCs w:val="20"/>
        </w:rPr>
        <w:t xml:space="preserve"> </w:t>
      </w:r>
      <w:r w:rsidR="001B0C3B" w:rsidRPr="00015533">
        <w:rPr>
          <w:rFonts w:ascii="Arial" w:hAnsi="Arial" w:cs="Arial"/>
          <w:sz w:val="20"/>
          <w:szCs w:val="20"/>
        </w:rPr>
        <w:t>ACT P</w:t>
      </w:r>
      <w:r w:rsidR="00705FBA" w:rsidRPr="00015533">
        <w:rPr>
          <w:rFonts w:ascii="Arial" w:hAnsi="Arial" w:cs="Arial"/>
          <w:sz w:val="20"/>
          <w:szCs w:val="20"/>
        </w:rPr>
        <w:t>ublic Service Nursing and Midwifery</w:t>
      </w:r>
      <w:r w:rsidR="001B0C3B" w:rsidRPr="00015533">
        <w:rPr>
          <w:rFonts w:ascii="Arial" w:hAnsi="Arial" w:cs="Arial"/>
          <w:sz w:val="20"/>
          <w:szCs w:val="20"/>
        </w:rPr>
        <w:t xml:space="preserve"> Enterprise Agreement 201</w:t>
      </w:r>
      <w:r w:rsidR="00FD06A9" w:rsidRPr="00015533">
        <w:rPr>
          <w:rFonts w:ascii="Arial" w:hAnsi="Arial" w:cs="Arial"/>
          <w:sz w:val="20"/>
          <w:szCs w:val="20"/>
        </w:rPr>
        <w:t>3</w:t>
      </w:r>
      <w:r w:rsidR="001B0C3B" w:rsidRPr="00015533">
        <w:rPr>
          <w:rFonts w:ascii="Arial" w:hAnsi="Arial" w:cs="Arial"/>
          <w:sz w:val="20"/>
          <w:szCs w:val="20"/>
        </w:rPr>
        <w:t>-201</w:t>
      </w:r>
      <w:r w:rsidR="00FD06A9" w:rsidRPr="00015533">
        <w:rPr>
          <w:rFonts w:ascii="Arial" w:hAnsi="Arial" w:cs="Arial"/>
          <w:sz w:val="20"/>
          <w:szCs w:val="20"/>
        </w:rPr>
        <w:t>7</w:t>
      </w:r>
      <w:r w:rsidR="007B5864" w:rsidRPr="00015533">
        <w:rPr>
          <w:rFonts w:ascii="Arial" w:hAnsi="Arial" w:cs="Arial"/>
          <w:sz w:val="20"/>
          <w:szCs w:val="20"/>
        </w:rPr>
        <w:t>.</w:t>
      </w:r>
    </w:p>
    <w:p w:rsidR="00346E37" w:rsidRPr="00015533" w:rsidRDefault="00346E37" w:rsidP="00D51BA4">
      <w:pPr>
        <w:pStyle w:val="ListParagraph"/>
        <w:ind w:left="-709"/>
        <w:jc w:val="both"/>
        <w:rPr>
          <w:rFonts w:ascii="Arial" w:hAnsi="Arial" w:cs="Arial"/>
          <w:sz w:val="22"/>
          <w:szCs w:val="22"/>
        </w:rPr>
      </w:pPr>
      <w:r w:rsidRPr="00015533">
        <w:rPr>
          <w:rFonts w:ascii="Arial" w:hAnsi="Arial" w:cs="Arial"/>
          <w:sz w:val="22"/>
          <w:szCs w:val="22"/>
        </w:rPr>
        <w:t>GENERAL</w:t>
      </w:r>
    </w:p>
    <w:p w:rsidR="00346E37" w:rsidRPr="00015533" w:rsidRDefault="00346E37" w:rsidP="00D51BA4">
      <w:pPr>
        <w:pStyle w:val="ListParagraph"/>
        <w:ind w:left="-709"/>
        <w:jc w:val="both"/>
        <w:rPr>
          <w:rFonts w:ascii="Arial" w:hAnsi="Arial" w:cs="Arial"/>
          <w:sz w:val="20"/>
          <w:szCs w:val="20"/>
        </w:rPr>
      </w:pPr>
    </w:p>
    <w:p w:rsidR="00FF1BF5" w:rsidRPr="00FF1BF5" w:rsidRDefault="00705FBA" w:rsidP="00D51BA4">
      <w:pPr>
        <w:jc w:val="both"/>
        <w:rPr>
          <w:rFonts w:ascii="Arial" w:hAnsi="Arial" w:cs="Arial"/>
          <w:sz w:val="20"/>
          <w:szCs w:val="20"/>
        </w:rPr>
      </w:pPr>
      <w:r w:rsidRPr="00FF1BF5">
        <w:rPr>
          <w:rFonts w:ascii="Arial" w:hAnsi="Arial" w:cs="Arial"/>
          <w:sz w:val="20"/>
          <w:szCs w:val="20"/>
        </w:rPr>
        <w:t>A number</w:t>
      </w:r>
      <w:r w:rsidR="00FD06A9" w:rsidRPr="00FF1BF5">
        <w:rPr>
          <w:rFonts w:ascii="Arial" w:hAnsi="Arial" w:cs="Arial"/>
          <w:sz w:val="20"/>
          <w:szCs w:val="20"/>
        </w:rPr>
        <w:t xml:space="preserve"> of</w:t>
      </w:r>
      <w:r w:rsidR="00BB2CFB" w:rsidRPr="00FF1BF5">
        <w:rPr>
          <w:rFonts w:ascii="Arial" w:hAnsi="Arial" w:cs="Arial"/>
          <w:sz w:val="20"/>
          <w:szCs w:val="20"/>
        </w:rPr>
        <w:t xml:space="preserve"> </w:t>
      </w:r>
      <w:r w:rsidR="00346E37" w:rsidRPr="00FF1BF5">
        <w:rPr>
          <w:rFonts w:ascii="Arial" w:hAnsi="Arial" w:cs="Arial"/>
          <w:sz w:val="20"/>
          <w:szCs w:val="20"/>
        </w:rPr>
        <w:t xml:space="preserve">changes to the </w:t>
      </w:r>
      <w:r w:rsidR="009A4458">
        <w:rPr>
          <w:rFonts w:ascii="Arial" w:hAnsi="Arial" w:cs="Arial"/>
          <w:sz w:val="20"/>
          <w:szCs w:val="20"/>
        </w:rPr>
        <w:t>new</w:t>
      </w:r>
      <w:r w:rsidR="00346E37" w:rsidRPr="00FF1BF5">
        <w:rPr>
          <w:rFonts w:ascii="Arial" w:hAnsi="Arial" w:cs="Arial"/>
          <w:sz w:val="20"/>
          <w:szCs w:val="20"/>
        </w:rPr>
        <w:t xml:space="preserve"> enterprise agreement sought to clarify </w:t>
      </w:r>
      <w:r w:rsidR="00BB2CFB" w:rsidRPr="00FF1BF5">
        <w:rPr>
          <w:rFonts w:ascii="Arial" w:hAnsi="Arial" w:cs="Arial"/>
          <w:sz w:val="20"/>
          <w:szCs w:val="20"/>
        </w:rPr>
        <w:t xml:space="preserve">minor technical and </w:t>
      </w:r>
      <w:r w:rsidR="00346E37" w:rsidRPr="00FF1BF5">
        <w:rPr>
          <w:rFonts w:ascii="Arial" w:hAnsi="Arial" w:cs="Arial"/>
          <w:sz w:val="20"/>
          <w:szCs w:val="20"/>
        </w:rPr>
        <w:t>operational requirements relating to existing entitlements</w:t>
      </w:r>
      <w:r w:rsidR="00B66913" w:rsidRPr="00FF1BF5">
        <w:rPr>
          <w:rFonts w:ascii="Arial" w:hAnsi="Arial" w:cs="Arial"/>
          <w:sz w:val="20"/>
          <w:szCs w:val="20"/>
        </w:rPr>
        <w:t xml:space="preserve"> and processes</w:t>
      </w:r>
      <w:r w:rsidR="00346E37" w:rsidRPr="00FF1BF5">
        <w:rPr>
          <w:rFonts w:ascii="Arial" w:hAnsi="Arial" w:cs="Arial"/>
          <w:sz w:val="20"/>
          <w:szCs w:val="20"/>
        </w:rPr>
        <w:t>.</w:t>
      </w:r>
      <w:r w:rsidR="00FD06A9" w:rsidRPr="00FF1BF5">
        <w:rPr>
          <w:rFonts w:ascii="Arial" w:hAnsi="Arial" w:cs="Arial"/>
          <w:sz w:val="20"/>
          <w:szCs w:val="20"/>
        </w:rPr>
        <w:t xml:space="preserve"> </w:t>
      </w:r>
      <w:r w:rsidR="00FF1BF5">
        <w:rPr>
          <w:rFonts w:ascii="Arial" w:hAnsi="Arial" w:cs="Arial"/>
          <w:sz w:val="20"/>
          <w:szCs w:val="20"/>
        </w:rPr>
        <w:t>Among these are i</w:t>
      </w:r>
      <w:r w:rsidR="00FF1BF5" w:rsidRPr="00FF1BF5">
        <w:rPr>
          <w:rFonts w:ascii="Arial" w:hAnsi="Arial" w:cs="Arial"/>
          <w:sz w:val="20"/>
          <w:szCs w:val="20"/>
        </w:rPr>
        <w:t xml:space="preserve">mportant changes to the workplace behaviour sections (discipline, underperformance, internal review and appeals). These changes give a special focus on resolving matters as quickly as possible through counselling or other means without recourse to formal processes. The new provisions will be supported by the development of best practice guidance material for managers, delegates and investigators; all of which will greatly assist in the timely resolution </w:t>
      </w:r>
      <w:r w:rsidR="006C5DD9">
        <w:rPr>
          <w:rFonts w:ascii="Arial" w:hAnsi="Arial" w:cs="Arial"/>
          <w:sz w:val="20"/>
          <w:szCs w:val="20"/>
        </w:rPr>
        <w:t xml:space="preserve">of issues </w:t>
      </w:r>
      <w:r w:rsidR="00FF1BF5" w:rsidRPr="00FF1BF5">
        <w:rPr>
          <w:rFonts w:ascii="Arial" w:hAnsi="Arial" w:cs="Arial"/>
          <w:sz w:val="20"/>
          <w:szCs w:val="20"/>
        </w:rPr>
        <w:t>as they occur.</w:t>
      </w:r>
    </w:p>
    <w:p w:rsidR="00346E37" w:rsidRPr="00FF1BF5" w:rsidRDefault="00346E37" w:rsidP="00D51BA4">
      <w:pPr>
        <w:pStyle w:val="ListParagraph"/>
        <w:ind w:left="-709"/>
        <w:jc w:val="both"/>
        <w:rPr>
          <w:rFonts w:ascii="Arial" w:hAnsi="Arial" w:cs="Arial"/>
          <w:sz w:val="22"/>
          <w:szCs w:val="22"/>
        </w:rPr>
      </w:pPr>
    </w:p>
    <w:p w:rsidR="003D5CBA" w:rsidRPr="00015533" w:rsidRDefault="003D5CBA" w:rsidP="00D51BA4">
      <w:pPr>
        <w:pStyle w:val="ListParagraph"/>
        <w:ind w:left="-709"/>
        <w:jc w:val="both"/>
        <w:rPr>
          <w:rFonts w:ascii="Arial" w:hAnsi="Arial" w:cs="Arial"/>
          <w:sz w:val="22"/>
          <w:szCs w:val="22"/>
        </w:rPr>
      </w:pPr>
      <w:r w:rsidRPr="00015533">
        <w:rPr>
          <w:rFonts w:ascii="Arial" w:hAnsi="Arial" w:cs="Arial"/>
          <w:sz w:val="22"/>
          <w:szCs w:val="22"/>
        </w:rPr>
        <w:t>REMUNERATION</w:t>
      </w:r>
    </w:p>
    <w:p w:rsidR="003D5CBA" w:rsidRPr="00015533" w:rsidRDefault="003D5CBA" w:rsidP="00D51BA4">
      <w:pPr>
        <w:pStyle w:val="ListParagraph"/>
        <w:ind w:left="11"/>
        <w:jc w:val="both"/>
        <w:rPr>
          <w:rFonts w:ascii="Arial" w:hAnsi="Arial" w:cs="Arial"/>
          <w:sz w:val="20"/>
          <w:szCs w:val="20"/>
        </w:rPr>
      </w:pPr>
    </w:p>
    <w:p w:rsidR="00015533" w:rsidRPr="00015533" w:rsidRDefault="00705FBA" w:rsidP="00D51BA4">
      <w:pPr>
        <w:pStyle w:val="ListParagraph"/>
        <w:numPr>
          <w:ilvl w:val="0"/>
          <w:numId w:val="3"/>
        </w:numPr>
        <w:spacing w:after="120"/>
        <w:jc w:val="both"/>
        <w:rPr>
          <w:b/>
          <w:sz w:val="20"/>
          <w:szCs w:val="20"/>
        </w:rPr>
      </w:pPr>
      <w:r w:rsidRPr="00015533">
        <w:rPr>
          <w:rFonts w:ascii="Arial" w:hAnsi="Arial" w:cs="Arial"/>
          <w:sz w:val="20"/>
          <w:szCs w:val="20"/>
        </w:rPr>
        <w:t>A</w:t>
      </w:r>
      <w:r w:rsidR="003D5CBA" w:rsidRPr="00015533">
        <w:rPr>
          <w:rFonts w:ascii="Arial" w:hAnsi="Arial" w:cs="Arial"/>
          <w:sz w:val="20"/>
          <w:szCs w:val="20"/>
        </w:rPr>
        <w:t xml:space="preserve">ll employees of the </w:t>
      </w:r>
      <w:r w:rsidR="001B0C3B" w:rsidRPr="00015533">
        <w:rPr>
          <w:rFonts w:ascii="Arial" w:hAnsi="Arial" w:cs="Arial"/>
          <w:sz w:val="20"/>
          <w:szCs w:val="20"/>
        </w:rPr>
        <w:t>Health Directorate and Calvary Health Care ACT Inc.</w:t>
      </w:r>
      <w:r w:rsidR="003D5CBA" w:rsidRPr="00015533">
        <w:rPr>
          <w:rFonts w:ascii="Arial" w:hAnsi="Arial" w:cs="Arial"/>
          <w:sz w:val="20"/>
          <w:szCs w:val="20"/>
        </w:rPr>
        <w:t xml:space="preserve"> to whom the </w:t>
      </w:r>
      <w:r w:rsidR="009A4458">
        <w:rPr>
          <w:rFonts w:ascii="Arial" w:hAnsi="Arial" w:cs="Arial"/>
          <w:sz w:val="20"/>
          <w:szCs w:val="20"/>
        </w:rPr>
        <w:t xml:space="preserve">new </w:t>
      </w:r>
      <w:r w:rsidR="003D5CBA" w:rsidRPr="00015533">
        <w:rPr>
          <w:rFonts w:ascii="Arial" w:hAnsi="Arial" w:cs="Arial"/>
          <w:sz w:val="20"/>
          <w:szCs w:val="20"/>
        </w:rPr>
        <w:t>Ag</w:t>
      </w:r>
      <w:r w:rsidR="00015533" w:rsidRPr="00015533">
        <w:rPr>
          <w:rFonts w:ascii="Arial" w:hAnsi="Arial" w:cs="Arial"/>
          <w:sz w:val="20"/>
          <w:szCs w:val="20"/>
        </w:rPr>
        <w:t xml:space="preserve">reement applies will receive </w:t>
      </w:r>
      <w:r w:rsidR="00015533">
        <w:rPr>
          <w:rFonts w:ascii="Arial" w:hAnsi="Arial" w:cs="Arial"/>
          <w:sz w:val="20"/>
          <w:szCs w:val="20"/>
        </w:rPr>
        <w:t>increases to their salary and allowances</w:t>
      </w:r>
      <w:r w:rsidR="00015533" w:rsidRPr="00015533">
        <w:rPr>
          <w:rFonts w:ascii="Arial" w:hAnsi="Arial" w:cs="Arial"/>
          <w:sz w:val="20"/>
          <w:szCs w:val="20"/>
        </w:rPr>
        <w:t xml:space="preserve"> as below:</w:t>
      </w:r>
    </w:p>
    <w:p w:rsidR="00015533" w:rsidRPr="00015533" w:rsidRDefault="00015533" w:rsidP="00D51BA4">
      <w:pPr>
        <w:pStyle w:val="ListParagraph"/>
        <w:spacing w:after="120"/>
        <w:ind w:left="11"/>
        <w:jc w:val="both"/>
        <w:rPr>
          <w:b/>
        </w:rPr>
      </w:pPr>
    </w:p>
    <w:p w:rsidR="00015533" w:rsidRPr="00015533" w:rsidRDefault="00015533" w:rsidP="00D51BA4">
      <w:pPr>
        <w:pStyle w:val="ListParagraph"/>
        <w:spacing w:after="120"/>
        <w:ind w:left="11"/>
        <w:jc w:val="both"/>
        <w:rPr>
          <w:rFonts w:ascii="Arial" w:hAnsi="Arial" w:cs="Arial"/>
          <w:b/>
          <w:sz w:val="20"/>
          <w:szCs w:val="20"/>
        </w:rPr>
      </w:pPr>
      <w:r w:rsidRPr="00015533">
        <w:rPr>
          <w:rFonts w:ascii="Arial" w:hAnsi="Arial" w:cs="Arial"/>
          <w:b/>
          <w:sz w:val="20"/>
          <w:szCs w:val="20"/>
        </w:rPr>
        <w:t>Year 1 (2013-2014)</w:t>
      </w:r>
    </w:p>
    <w:p w:rsidR="00015533" w:rsidRPr="00015533" w:rsidRDefault="00015533" w:rsidP="00D51BA4">
      <w:pPr>
        <w:pStyle w:val="ListParagraph"/>
        <w:numPr>
          <w:ilvl w:val="0"/>
          <w:numId w:val="7"/>
        </w:numPr>
        <w:jc w:val="both"/>
        <w:rPr>
          <w:rFonts w:ascii="Arial" w:hAnsi="Arial" w:cs="Arial"/>
          <w:sz w:val="20"/>
          <w:szCs w:val="20"/>
        </w:rPr>
      </w:pPr>
      <w:r w:rsidRPr="00015533">
        <w:rPr>
          <w:rFonts w:ascii="Arial" w:hAnsi="Arial" w:cs="Arial"/>
          <w:sz w:val="20"/>
          <w:szCs w:val="20"/>
        </w:rPr>
        <w:t>A single $2,550 flat increase across all classifications OR a 3% increase to salary rates, whichever is the greater</w:t>
      </w:r>
      <w:r w:rsidR="00497B42">
        <w:rPr>
          <w:rFonts w:ascii="Arial" w:hAnsi="Arial" w:cs="Arial"/>
          <w:sz w:val="20"/>
          <w:szCs w:val="20"/>
        </w:rPr>
        <w:t>, with effect from the first pay period on or after 1 July 2013</w:t>
      </w:r>
      <w:r w:rsidRPr="00015533">
        <w:rPr>
          <w:rFonts w:ascii="Arial" w:hAnsi="Arial" w:cs="Arial"/>
          <w:sz w:val="20"/>
          <w:szCs w:val="20"/>
        </w:rPr>
        <w:t>; and</w:t>
      </w:r>
    </w:p>
    <w:p w:rsidR="00015533" w:rsidRPr="00015533" w:rsidRDefault="00015533" w:rsidP="00D51BA4">
      <w:pPr>
        <w:pStyle w:val="ListParagraph"/>
        <w:numPr>
          <w:ilvl w:val="0"/>
          <w:numId w:val="7"/>
        </w:numPr>
        <w:jc w:val="both"/>
        <w:rPr>
          <w:rFonts w:ascii="Arial" w:hAnsi="Arial" w:cs="Arial"/>
          <w:sz w:val="20"/>
          <w:szCs w:val="20"/>
        </w:rPr>
      </w:pPr>
      <w:r w:rsidRPr="00015533">
        <w:rPr>
          <w:rFonts w:ascii="Arial" w:hAnsi="Arial" w:cs="Arial"/>
          <w:sz w:val="20"/>
          <w:szCs w:val="20"/>
        </w:rPr>
        <w:t>3% increase to most allowances, with 2% increases to allowances common with the rest of the ACTPS –</w:t>
      </w:r>
      <w:r w:rsidR="00A81C82">
        <w:rPr>
          <w:rFonts w:ascii="Arial" w:hAnsi="Arial" w:cs="Arial"/>
          <w:sz w:val="20"/>
          <w:szCs w:val="20"/>
        </w:rPr>
        <w:t xml:space="preserve"> Overtime</w:t>
      </w:r>
      <w:r w:rsidRPr="00015533">
        <w:rPr>
          <w:rFonts w:ascii="Arial" w:hAnsi="Arial" w:cs="Arial"/>
          <w:sz w:val="20"/>
          <w:szCs w:val="20"/>
        </w:rPr>
        <w:t xml:space="preserve"> Meals, Motor Vehicle and Linguistic Availability and Proficiency from the first pay period on or after 1 July 2013.</w:t>
      </w:r>
    </w:p>
    <w:p w:rsidR="00015533" w:rsidRPr="00015533" w:rsidRDefault="00015533" w:rsidP="00D51BA4">
      <w:pPr>
        <w:pStyle w:val="ListParagraph"/>
        <w:jc w:val="both"/>
        <w:rPr>
          <w:rFonts w:ascii="Arial" w:hAnsi="Arial" w:cs="Arial"/>
          <w:sz w:val="20"/>
          <w:szCs w:val="20"/>
        </w:rPr>
      </w:pPr>
    </w:p>
    <w:p w:rsidR="00015533" w:rsidRPr="00015533" w:rsidRDefault="00015533" w:rsidP="00D51BA4">
      <w:pPr>
        <w:spacing w:after="120"/>
        <w:jc w:val="both"/>
        <w:rPr>
          <w:rFonts w:ascii="Arial" w:hAnsi="Arial" w:cs="Arial"/>
          <w:b/>
          <w:sz w:val="20"/>
          <w:szCs w:val="20"/>
        </w:rPr>
      </w:pPr>
      <w:r w:rsidRPr="00015533">
        <w:rPr>
          <w:rFonts w:ascii="Arial" w:hAnsi="Arial" w:cs="Arial"/>
          <w:b/>
          <w:sz w:val="20"/>
          <w:szCs w:val="20"/>
        </w:rPr>
        <w:t>Year 2 (2014-2015)</w:t>
      </w:r>
    </w:p>
    <w:p w:rsidR="00015533" w:rsidRPr="00015533" w:rsidRDefault="00015533" w:rsidP="00D51BA4">
      <w:pPr>
        <w:pStyle w:val="ListParagraph"/>
        <w:numPr>
          <w:ilvl w:val="0"/>
          <w:numId w:val="8"/>
        </w:numPr>
        <w:jc w:val="both"/>
        <w:rPr>
          <w:rFonts w:ascii="Arial" w:hAnsi="Arial" w:cs="Arial"/>
          <w:sz w:val="20"/>
          <w:szCs w:val="20"/>
        </w:rPr>
      </w:pPr>
      <w:r w:rsidRPr="00015533">
        <w:rPr>
          <w:rFonts w:ascii="Arial" w:hAnsi="Arial" w:cs="Arial"/>
          <w:sz w:val="20"/>
          <w:szCs w:val="20"/>
        </w:rPr>
        <w:t>A 1.5% increase in salary rates and applicable allowances with effect from the first pay period on or after  1 July 2014; and</w:t>
      </w:r>
    </w:p>
    <w:p w:rsidR="00015533" w:rsidRPr="00015533" w:rsidRDefault="00015533" w:rsidP="00D51BA4">
      <w:pPr>
        <w:pStyle w:val="ListParagraph"/>
        <w:numPr>
          <w:ilvl w:val="0"/>
          <w:numId w:val="8"/>
        </w:numPr>
        <w:jc w:val="both"/>
        <w:rPr>
          <w:rFonts w:ascii="Arial" w:hAnsi="Arial" w:cs="Arial"/>
          <w:sz w:val="20"/>
          <w:szCs w:val="20"/>
        </w:rPr>
      </w:pPr>
      <w:r w:rsidRPr="00015533">
        <w:rPr>
          <w:rFonts w:ascii="Arial" w:hAnsi="Arial" w:cs="Arial"/>
          <w:sz w:val="20"/>
          <w:szCs w:val="20"/>
        </w:rPr>
        <w:t>A 1.5% increase in salary rates and applicable allowances with effect from the first pay period on or after 1 April 2015.</w:t>
      </w:r>
    </w:p>
    <w:p w:rsidR="00015533" w:rsidRPr="00015533" w:rsidRDefault="00015533" w:rsidP="00D51BA4">
      <w:pPr>
        <w:pStyle w:val="ListParagraph"/>
        <w:numPr>
          <w:ilvl w:val="0"/>
          <w:numId w:val="8"/>
        </w:numPr>
        <w:jc w:val="both"/>
        <w:rPr>
          <w:rFonts w:ascii="Arial" w:hAnsi="Arial" w:cs="Arial"/>
          <w:sz w:val="20"/>
          <w:szCs w:val="20"/>
        </w:rPr>
      </w:pPr>
      <w:r w:rsidRPr="00015533">
        <w:rPr>
          <w:rFonts w:ascii="Arial" w:hAnsi="Arial" w:cs="Arial"/>
          <w:sz w:val="20"/>
          <w:szCs w:val="20"/>
        </w:rPr>
        <w:t>Increases in allowance rates (Schedule 9) will be aligned with annual pay increases.</w:t>
      </w:r>
    </w:p>
    <w:p w:rsidR="00015533" w:rsidRPr="00015533" w:rsidRDefault="00015533" w:rsidP="00D51BA4">
      <w:pPr>
        <w:pStyle w:val="ListParagraph"/>
        <w:jc w:val="both"/>
        <w:rPr>
          <w:rFonts w:ascii="Arial" w:hAnsi="Arial" w:cs="Arial"/>
          <w:b/>
          <w:sz w:val="20"/>
          <w:szCs w:val="20"/>
        </w:rPr>
      </w:pPr>
    </w:p>
    <w:p w:rsidR="00015533" w:rsidRPr="00015533" w:rsidRDefault="00015533" w:rsidP="00D51BA4">
      <w:pPr>
        <w:spacing w:after="120"/>
        <w:jc w:val="both"/>
        <w:rPr>
          <w:rFonts w:ascii="Arial" w:hAnsi="Arial" w:cs="Arial"/>
          <w:b/>
          <w:sz w:val="20"/>
          <w:szCs w:val="20"/>
        </w:rPr>
      </w:pPr>
      <w:r w:rsidRPr="00015533">
        <w:rPr>
          <w:rFonts w:ascii="Arial" w:hAnsi="Arial" w:cs="Arial"/>
          <w:b/>
          <w:sz w:val="20"/>
          <w:szCs w:val="20"/>
        </w:rPr>
        <w:t>Year 3 (2015-2016)</w:t>
      </w:r>
    </w:p>
    <w:p w:rsidR="00015533" w:rsidRPr="00015533" w:rsidRDefault="00015533" w:rsidP="00D51BA4">
      <w:pPr>
        <w:pStyle w:val="ListParagraph"/>
        <w:numPr>
          <w:ilvl w:val="0"/>
          <w:numId w:val="12"/>
        </w:numPr>
        <w:jc w:val="both"/>
        <w:rPr>
          <w:rFonts w:ascii="Arial" w:hAnsi="Arial" w:cs="Arial"/>
          <w:sz w:val="20"/>
          <w:szCs w:val="20"/>
        </w:rPr>
      </w:pPr>
      <w:r w:rsidRPr="00015533">
        <w:rPr>
          <w:rFonts w:ascii="Arial" w:hAnsi="Arial" w:cs="Arial"/>
          <w:sz w:val="20"/>
          <w:szCs w:val="20"/>
        </w:rPr>
        <w:t>A 1.5% increase in salary rates and applicable allowances with effect from the first pay period on or after  1 October 2015; and</w:t>
      </w:r>
    </w:p>
    <w:p w:rsidR="00015533" w:rsidRPr="00015533" w:rsidRDefault="00015533" w:rsidP="00D51BA4">
      <w:pPr>
        <w:pStyle w:val="ListParagraph"/>
        <w:numPr>
          <w:ilvl w:val="0"/>
          <w:numId w:val="12"/>
        </w:numPr>
        <w:jc w:val="both"/>
        <w:rPr>
          <w:rFonts w:ascii="Arial" w:hAnsi="Arial" w:cs="Arial"/>
          <w:sz w:val="20"/>
          <w:szCs w:val="20"/>
        </w:rPr>
      </w:pPr>
      <w:r w:rsidRPr="00015533">
        <w:rPr>
          <w:rFonts w:ascii="Arial" w:hAnsi="Arial" w:cs="Arial"/>
          <w:sz w:val="20"/>
          <w:szCs w:val="20"/>
        </w:rPr>
        <w:t>A 1.5% increase in salary rates and applicable allowances with effect from the first pay period on or after 1 April 2016.</w:t>
      </w:r>
    </w:p>
    <w:p w:rsidR="00015533" w:rsidRPr="00015533" w:rsidRDefault="00015533" w:rsidP="00D51BA4">
      <w:pPr>
        <w:pStyle w:val="ListParagraph"/>
        <w:numPr>
          <w:ilvl w:val="0"/>
          <w:numId w:val="12"/>
        </w:numPr>
        <w:jc w:val="both"/>
        <w:rPr>
          <w:rFonts w:ascii="Arial" w:hAnsi="Arial" w:cs="Arial"/>
          <w:sz w:val="20"/>
          <w:szCs w:val="20"/>
        </w:rPr>
      </w:pPr>
      <w:r w:rsidRPr="00015533">
        <w:rPr>
          <w:rFonts w:ascii="Arial" w:hAnsi="Arial" w:cs="Arial"/>
          <w:sz w:val="20"/>
          <w:szCs w:val="20"/>
        </w:rPr>
        <w:t>Increases in allowance rates (Schedule 9) will be aligned with annual pay increases.</w:t>
      </w:r>
    </w:p>
    <w:p w:rsidR="00A81C82" w:rsidRDefault="00A81C82" w:rsidP="00D51BA4">
      <w:pPr>
        <w:pStyle w:val="ListParagraph"/>
        <w:spacing w:after="120"/>
        <w:jc w:val="both"/>
        <w:rPr>
          <w:rFonts w:ascii="Arial" w:eastAsiaTheme="minorHAnsi" w:hAnsi="Arial" w:cs="Arial"/>
          <w:sz w:val="20"/>
          <w:szCs w:val="20"/>
        </w:rPr>
      </w:pPr>
    </w:p>
    <w:p w:rsidR="00A81C82" w:rsidRDefault="00A81C82" w:rsidP="00D51BA4">
      <w:pPr>
        <w:pStyle w:val="ListParagraph"/>
        <w:spacing w:after="120"/>
        <w:jc w:val="both"/>
        <w:rPr>
          <w:rFonts w:ascii="Arial" w:eastAsiaTheme="minorHAnsi" w:hAnsi="Arial" w:cs="Arial"/>
          <w:sz w:val="20"/>
          <w:szCs w:val="20"/>
        </w:rPr>
      </w:pPr>
    </w:p>
    <w:p w:rsidR="00015533" w:rsidRPr="00092E31" w:rsidRDefault="00015533" w:rsidP="00D51BA4">
      <w:pPr>
        <w:pStyle w:val="ListParagraph"/>
        <w:spacing w:after="120"/>
        <w:ind w:left="0"/>
        <w:jc w:val="both"/>
        <w:rPr>
          <w:rFonts w:ascii="Arial" w:hAnsi="Arial" w:cs="Arial"/>
          <w:b/>
          <w:sz w:val="20"/>
          <w:szCs w:val="20"/>
        </w:rPr>
      </w:pPr>
      <w:r w:rsidRPr="00092E31">
        <w:rPr>
          <w:rFonts w:ascii="Arial" w:hAnsi="Arial" w:cs="Arial"/>
          <w:b/>
          <w:sz w:val="20"/>
          <w:szCs w:val="20"/>
        </w:rPr>
        <w:t>Year 4 (2016-2017)</w:t>
      </w:r>
    </w:p>
    <w:p w:rsidR="00015533" w:rsidRPr="00015533" w:rsidRDefault="00015533" w:rsidP="00D51BA4">
      <w:pPr>
        <w:pStyle w:val="ListParagraph"/>
        <w:numPr>
          <w:ilvl w:val="0"/>
          <w:numId w:val="12"/>
        </w:numPr>
        <w:jc w:val="both"/>
        <w:rPr>
          <w:rFonts w:ascii="Arial" w:hAnsi="Arial" w:cs="Arial"/>
          <w:sz w:val="20"/>
          <w:szCs w:val="20"/>
        </w:rPr>
      </w:pPr>
      <w:r w:rsidRPr="00015533">
        <w:rPr>
          <w:rFonts w:ascii="Arial" w:hAnsi="Arial" w:cs="Arial"/>
          <w:sz w:val="20"/>
          <w:szCs w:val="20"/>
        </w:rPr>
        <w:t>A 1.5% increase in salary rates and applicable allowances with effect from the first pay period on or after  1 October 2016; and</w:t>
      </w:r>
    </w:p>
    <w:p w:rsidR="00015533" w:rsidRPr="00015533" w:rsidRDefault="00015533" w:rsidP="00D51BA4">
      <w:pPr>
        <w:pStyle w:val="ListParagraph"/>
        <w:numPr>
          <w:ilvl w:val="0"/>
          <w:numId w:val="12"/>
        </w:numPr>
        <w:jc w:val="both"/>
        <w:rPr>
          <w:rFonts w:ascii="Arial" w:hAnsi="Arial" w:cs="Arial"/>
          <w:sz w:val="20"/>
          <w:szCs w:val="20"/>
        </w:rPr>
      </w:pPr>
      <w:r w:rsidRPr="00015533">
        <w:rPr>
          <w:rFonts w:ascii="Arial" w:hAnsi="Arial" w:cs="Arial"/>
          <w:sz w:val="20"/>
          <w:szCs w:val="20"/>
        </w:rPr>
        <w:lastRenderedPageBreak/>
        <w:t>A 1.5% increase in salary rates and applicable allowances with effect from the first pay period on or after 1 April 2017.</w:t>
      </w:r>
    </w:p>
    <w:p w:rsidR="00A81C82" w:rsidRPr="00594678" w:rsidRDefault="00015533" w:rsidP="00594678">
      <w:pPr>
        <w:pStyle w:val="ListParagraph"/>
        <w:numPr>
          <w:ilvl w:val="0"/>
          <w:numId w:val="12"/>
        </w:numPr>
        <w:jc w:val="both"/>
        <w:rPr>
          <w:rFonts w:ascii="Arial" w:hAnsi="Arial" w:cs="Arial"/>
          <w:sz w:val="20"/>
          <w:szCs w:val="20"/>
        </w:rPr>
      </w:pPr>
      <w:r w:rsidRPr="00A81C82">
        <w:rPr>
          <w:rFonts w:ascii="Arial" w:hAnsi="Arial" w:cs="Arial"/>
          <w:sz w:val="20"/>
          <w:szCs w:val="20"/>
        </w:rPr>
        <w:t>Increases in allowance rates (Schedule 9) will be aligned with annual pay increases.</w:t>
      </w:r>
    </w:p>
    <w:p w:rsidR="00A81C82" w:rsidRDefault="00A81C82" w:rsidP="00D51BA4">
      <w:pPr>
        <w:pStyle w:val="ListParagraph"/>
        <w:ind w:left="11"/>
        <w:jc w:val="both"/>
        <w:rPr>
          <w:rFonts w:ascii="Arial" w:hAnsi="Arial" w:cs="Arial"/>
        </w:rPr>
      </w:pPr>
    </w:p>
    <w:p w:rsidR="00015533" w:rsidRDefault="000414B6" w:rsidP="00D51BA4">
      <w:pPr>
        <w:pStyle w:val="ListParagraph"/>
        <w:numPr>
          <w:ilvl w:val="0"/>
          <w:numId w:val="3"/>
        </w:numPr>
        <w:ind w:left="-284" w:firstLine="0"/>
        <w:jc w:val="both"/>
        <w:rPr>
          <w:rFonts w:ascii="Arial" w:hAnsi="Arial" w:cs="Arial"/>
          <w:sz w:val="20"/>
          <w:szCs w:val="20"/>
        </w:rPr>
      </w:pPr>
      <w:r w:rsidRPr="00092E31">
        <w:rPr>
          <w:rFonts w:ascii="Arial" w:hAnsi="Arial" w:cs="Arial"/>
          <w:sz w:val="20"/>
          <w:szCs w:val="20"/>
        </w:rPr>
        <w:t xml:space="preserve">Night shift penalties will increase from 22.5% to 25% </w:t>
      </w:r>
      <w:r w:rsidR="009138CD">
        <w:rPr>
          <w:rFonts w:ascii="Arial" w:hAnsi="Arial" w:cs="Arial"/>
          <w:sz w:val="20"/>
          <w:szCs w:val="20"/>
        </w:rPr>
        <w:t xml:space="preserve">from </w:t>
      </w:r>
      <w:r w:rsidRPr="00092E31">
        <w:rPr>
          <w:rFonts w:ascii="Arial" w:hAnsi="Arial" w:cs="Arial"/>
          <w:sz w:val="20"/>
          <w:szCs w:val="20"/>
        </w:rPr>
        <w:t xml:space="preserve">the first pay period on or after 1 January </w:t>
      </w:r>
      <w:r w:rsidR="00092E31">
        <w:rPr>
          <w:rFonts w:ascii="Arial" w:hAnsi="Arial" w:cs="Arial"/>
          <w:sz w:val="20"/>
          <w:szCs w:val="20"/>
        </w:rPr>
        <w:tab/>
      </w:r>
      <w:r w:rsidRPr="00092E31">
        <w:rPr>
          <w:rFonts w:ascii="Arial" w:hAnsi="Arial" w:cs="Arial"/>
          <w:sz w:val="20"/>
          <w:szCs w:val="20"/>
        </w:rPr>
        <w:t>2014</w:t>
      </w:r>
      <w:r w:rsidR="00594678">
        <w:rPr>
          <w:rFonts w:ascii="Arial" w:hAnsi="Arial" w:cs="Arial"/>
          <w:sz w:val="20"/>
          <w:szCs w:val="20"/>
        </w:rPr>
        <w:t xml:space="preserve"> </w:t>
      </w:r>
      <w:r w:rsidR="00A81C82">
        <w:rPr>
          <w:rFonts w:ascii="Arial" w:hAnsi="Arial" w:cs="Arial"/>
          <w:sz w:val="20"/>
          <w:szCs w:val="20"/>
        </w:rPr>
        <w:t>(Clause 55).</w:t>
      </w:r>
    </w:p>
    <w:p w:rsidR="00092E31" w:rsidRPr="00092E31" w:rsidRDefault="00092E31" w:rsidP="00D51BA4">
      <w:pPr>
        <w:pStyle w:val="ListParagraph"/>
        <w:ind w:left="-284"/>
        <w:jc w:val="both"/>
        <w:rPr>
          <w:rFonts w:ascii="Arial" w:hAnsi="Arial" w:cs="Arial"/>
          <w:sz w:val="20"/>
          <w:szCs w:val="20"/>
        </w:rPr>
      </w:pPr>
    </w:p>
    <w:p w:rsidR="000414B6" w:rsidRPr="00A81C82" w:rsidRDefault="000414B6" w:rsidP="00D51BA4">
      <w:pPr>
        <w:pStyle w:val="ListParagraph"/>
        <w:numPr>
          <w:ilvl w:val="0"/>
          <w:numId w:val="3"/>
        </w:numPr>
        <w:jc w:val="both"/>
        <w:rPr>
          <w:rFonts w:ascii="Arial" w:hAnsi="Arial" w:cs="Arial"/>
          <w:sz w:val="20"/>
          <w:szCs w:val="20"/>
        </w:rPr>
      </w:pPr>
      <w:r w:rsidRPr="00A81C82">
        <w:rPr>
          <w:rFonts w:ascii="Arial" w:hAnsi="Arial" w:cs="Arial"/>
          <w:sz w:val="20"/>
          <w:szCs w:val="20"/>
        </w:rPr>
        <w:t>Continuity of Care Midwifery Model (formally Canberra Midwifery Program) increase in loadings by 5% from the first pay period on or after 1 January 2014</w:t>
      </w:r>
      <w:r w:rsidR="000244B9" w:rsidRPr="00A81C82">
        <w:rPr>
          <w:rFonts w:ascii="Arial" w:hAnsi="Arial" w:cs="Arial"/>
          <w:sz w:val="20"/>
          <w:szCs w:val="20"/>
        </w:rPr>
        <w:t xml:space="preserve"> (</w:t>
      </w:r>
      <w:r w:rsidRPr="00A81C82">
        <w:rPr>
          <w:rFonts w:ascii="Arial" w:hAnsi="Arial" w:cs="Arial"/>
          <w:sz w:val="20"/>
          <w:szCs w:val="20"/>
        </w:rPr>
        <w:t>Schedule 3).</w:t>
      </w:r>
    </w:p>
    <w:p w:rsidR="00092E31" w:rsidRDefault="00092E31" w:rsidP="00D51BA4">
      <w:pPr>
        <w:pStyle w:val="ListParagraph"/>
        <w:ind w:left="-284"/>
        <w:jc w:val="both"/>
        <w:rPr>
          <w:rFonts w:ascii="Arial" w:hAnsi="Arial" w:cs="Arial"/>
          <w:sz w:val="20"/>
          <w:szCs w:val="20"/>
        </w:rPr>
      </w:pPr>
    </w:p>
    <w:p w:rsidR="000414B6" w:rsidRPr="00A81C82" w:rsidRDefault="000414B6" w:rsidP="00D51BA4">
      <w:pPr>
        <w:pStyle w:val="ListParagraph"/>
        <w:numPr>
          <w:ilvl w:val="0"/>
          <w:numId w:val="3"/>
        </w:numPr>
        <w:jc w:val="both"/>
        <w:rPr>
          <w:rFonts w:ascii="Arial" w:hAnsi="Arial" w:cs="Arial"/>
          <w:sz w:val="20"/>
          <w:szCs w:val="20"/>
        </w:rPr>
      </w:pPr>
      <w:r w:rsidRPr="00A81C82">
        <w:rPr>
          <w:rFonts w:ascii="Arial" w:hAnsi="Arial" w:cs="Arial"/>
          <w:sz w:val="20"/>
          <w:szCs w:val="20"/>
        </w:rPr>
        <w:t>Casual loading increases from 2</w:t>
      </w:r>
      <w:r w:rsidR="00ED03EC">
        <w:rPr>
          <w:rFonts w:ascii="Arial" w:hAnsi="Arial" w:cs="Arial"/>
          <w:sz w:val="20"/>
          <w:szCs w:val="20"/>
        </w:rPr>
        <w:t>0</w:t>
      </w:r>
      <w:r w:rsidRPr="00A81C82">
        <w:rPr>
          <w:rFonts w:ascii="Arial" w:hAnsi="Arial" w:cs="Arial"/>
          <w:sz w:val="20"/>
          <w:szCs w:val="20"/>
        </w:rPr>
        <w:t>% to 2</w:t>
      </w:r>
      <w:r w:rsidR="00ED03EC">
        <w:rPr>
          <w:rFonts w:ascii="Arial" w:hAnsi="Arial" w:cs="Arial"/>
          <w:sz w:val="20"/>
          <w:szCs w:val="20"/>
        </w:rPr>
        <w:t>2.5</w:t>
      </w:r>
      <w:r w:rsidRPr="00A81C82">
        <w:rPr>
          <w:rFonts w:ascii="Arial" w:hAnsi="Arial" w:cs="Arial"/>
          <w:sz w:val="20"/>
          <w:szCs w:val="20"/>
        </w:rPr>
        <w:t>% from commencement of agreement, with a further i</w:t>
      </w:r>
      <w:r w:rsidR="00594678">
        <w:rPr>
          <w:rFonts w:ascii="Arial" w:hAnsi="Arial" w:cs="Arial"/>
          <w:sz w:val="20"/>
          <w:szCs w:val="20"/>
        </w:rPr>
        <w:t>ncrease to 25% from 1 July 2015</w:t>
      </w:r>
      <w:r w:rsidR="00A81C82">
        <w:rPr>
          <w:rFonts w:ascii="Arial" w:hAnsi="Arial" w:cs="Arial"/>
          <w:sz w:val="20"/>
          <w:szCs w:val="20"/>
        </w:rPr>
        <w:t xml:space="preserve"> (Clause 65).</w:t>
      </w:r>
    </w:p>
    <w:p w:rsidR="000414B6" w:rsidRPr="00092E31" w:rsidRDefault="000414B6" w:rsidP="00D51BA4">
      <w:pPr>
        <w:pStyle w:val="ListParagraph"/>
        <w:ind w:left="-284"/>
        <w:jc w:val="both"/>
        <w:rPr>
          <w:rFonts w:ascii="Arial" w:hAnsi="Arial" w:cs="Arial"/>
          <w:sz w:val="20"/>
          <w:szCs w:val="20"/>
        </w:rPr>
      </w:pPr>
    </w:p>
    <w:p w:rsidR="003D5CBA" w:rsidRPr="00015533" w:rsidRDefault="003D5CBA" w:rsidP="00D51BA4">
      <w:pPr>
        <w:pStyle w:val="ListParagraph"/>
        <w:ind w:left="-567"/>
        <w:jc w:val="both"/>
        <w:rPr>
          <w:rFonts w:ascii="Arial" w:hAnsi="Arial" w:cs="Arial"/>
          <w:sz w:val="22"/>
          <w:szCs w:val="22"/>
        </w:rPr>
      </w:pPr>
      <w:r w:rsidRPr="00015533">
        <w:rPr>
          <w:rFonts w:ascii="Arial" w:hAnsi="Arial" w:cs="Arial"/>
          <w:sz w:val="22"/>
          <w:szCs w:val="22"/>
        </w:rPr>
        <w:t>ENTITLEMENTS</w:t>
      </w:r>
    </w:p>
    <w:p w:rsidR="003D5CBA" w:rsidRPr="00022820" w:rsidRDefault="003D5CBA" w:rsidP="00D51BA4">
      <w:pPr>
        <w:pStyle w:val="ListParagraph"/>
        <w:ind w:left="11"/>
        <w:jc w:val="both"/>
        <w:rPr>
          <w:rFonts w:ascii="Arial" w:hAnsi="Arial" w:cs="Arial"/>
        </w:rPr>
      </w:pPr>
    </w:p>
    <w:p w:rsidR="00015533" w:rsidRDefault="00346E37" w:rsidP="00D51BA4">
      <w:pPr>
        <w:pStyle w:val="ListParagraph"/>
        <w:numPr>
          <w:ilvl w:val="0"/>
          <w:numId w:val="3"/>
        </w:numPr>
        <w:jc w:val="both"/>
        <w:rPr>
          <w:rFonts w:ascii="Arial" w:hAnsi="Arial" w:cs="Arial"/>
          <w:sz w:val="20"/>
          <w:szCs w:val="20"/>
        </w:rPr>
      </w:pPr>
      <w:r w:rsidRPr="00015533">
        <w:rPr>
          <w:rFonts w:ascii="Arial" w:hAnsi="Arial" w:cs="Arial"/>
          <w:sz w:val="20"/>
          <w:szCs w:val="20"/>
        </w:rPr>
        <w:t>There has been no reduction to existing entitlements under the</w:t>
      </w:r>
      <w:r w:rsidR="009A4458">
        <w:rPr>
          <w:rFonts w:ascii="Arial" w:hAnsi="Arial" w:cs="Arial"/>
          <w:sz w:val="20"/>
          <w:szCs w:val="20"/>
        </w:rPr>
        <w:t xml:space="preserve"> new</w:t>
      </w:r>
      <w:r w:rsidRPr="00015533">
        <w:rPr>
          <w:rFonts w:ascii="Arial" w:hAnsi="Arial" w:cs="Arial"/>
          <w:sz w:val="20"/>
          <w:szCs w:val="20"/>
        </w:rPr>
        <w:t xml:space="preserve"> enterprise agreement</w:t>
      </w:r>
      <w:r w:rsidR="00705FBA" w:rsidRPr="00015533">
        <w:rPr>
          <w:rFonts w:ascii="Arial" w:hAnsi="Arial" w:cs="Arial"/>
          <w:sz w:val="20"/>
          <w:szCs w:val="20"/>
        </w:rPr>
        <w:t>, including Qualification Allowance</w:t>
      </w:r>
      <w:r w:rsidRPr="00015533">
        <w:rPr>
          <w:rFonts w:ascii="Arial" w:hAnsi="Arial" w:cs="Arial"/>
          <w:sz w:val="20"/>
          <w:szCs w:val="20"/>
        </w:rPr>
        <w:t>.</w:t>
      </w:r>
    </w:p>
    <w:p w:rsidR="00FF1BF5" w:rsidRDefault="00FF1BF5" w:rsidP="00D51BA4">
      <w:pPr>
        <w:pStyle w:val="ListParagraph"/>
        <w:ind w:left="11"/>
        <w:jc w:val="both"/>
        <w:rPr>
          <w:rFonts w:ascii="Arial" w:hAnsi="Arial" w:cs="Arial"/>
          <w:sz w:val="20"/>
          <w:szCs w:val="20"/>
        </w:rPr>
      </w:pPr>
    </w:p>
    <w:p w:rsidR="00A0354B" w:rsidRPr="00D51BA4" w:rsidRDefault="00FF1BF5" w:rsidP="00D51BA4">
      <w:pPr>
        <w:numPr>
          <w:ilvl w:val="0"/>
          <w:numId w:val="3"/>
        </w:numPr>
        <w:jc w:val="both"/>
        <w:rPr>
          <w:rFonts w:ascii="Arial" w:hAnsi="Arial" w:cs="Arial"/>
          <w:sz w:val="20"/>
          <w:szCs w:val="20"/>
        </w:rPr>
      </w:pPr>
      <w:r w:rsidRPr="00FF1BF5">
        <w:rPr>
          <w:rFonts w:ascii="Arial" w:hAnsi="Arial" w:cs="Arial"/>
          <w:sz w:val="20"/>
          <w:szCs w:val="20"/>
        </w:rPr>
        <w:t>Flexible working arrangements</w:t>
      </w:r>
      <w:r w:rsidR="0076154B">
        <w:rPr>
          <w:rFonts w:ascii="Arial" w:hAnsi="Arial" w:cs="Arial"/>
          <w:sz w:val="20"/>
          <w:szCs w:val="20"/>
        </w:rPr>
        <w:t>, in</w:t>
      </w:r>
      <w:r w:rsidRPr="00FF1BF5">
        <w:rPr>
          <w:rFonts w:ascii="Arial" w:hAnsi="Arial" w:cs="Arial"/>
          <w:sz w:val="20"/>
          <w:szCs w:val="20"/>
        </w:rPr>
        <w:t xml:space="preserve"> line with amendments to the Fair Work Act, the Government has supported an increase in the circumstances that will allow an employee to seek flexible working arrangements; for example, caring, disability and being over the age of 55.  Additionally, the entitlement to seek flexible work arrangements to support an employee’s work life balance has</w:t>
      </w:r>
      <w:r w:rsidR="00594678">
        <w:rPr>
          <w:rFonts w:ascii="Arial" w:hAnsi="Arial" w:cs="Arial"/>
          <w:sz w:val="20"/>
          <w:szCs w:val="20"/>
        </w:rPr>
        <w:t xml:space="preserve"> been simplified (Section 2).</w:t>
      </w:r>
    </w:p>
    <w:p w:rsidR="00015533" w:rsidRPr="00015533" w:rsidRDefault="00015533" w:rsidP="00D51BA4">
      <w:pPr>
        <w:pStyle w:val="ListParagraph"/>
        <w:ind w:left="11"/>
        <w:jc w:val="both"/>
        <w:rPr>
          <w:rFonts w:ascii="Arial" w:hAnsi="Arial" w:cs="Arial"/>
          <w:sz w:val="20"/>
          <w:szCs w:val="20"/>
        </w:rPr>
      </w:pPr>
    </w:p>
    <w:p w:rsidR="00A0354B" w:rsidRDefault="00A0354B" w:rsidP="00D51BA4">
      <w:pPr>
        <w:pStyle w:val="ListParagraph"/>
        <w:ind w:left="-567"/>
        <w:jc w:val="both"/>
        <w:rPr>
          <w:rFonts w:ascii="Arial" w:hAnsi="Arial" w:cs="Arial"/>
          <w:sz w:val="22"/>
          <w:szCs w:val="22"/>
        </w:rPr>
      </w:pPr>
      <w:r>
        <w:rPr>
          <w:rFonts w:ascii="Arial" w:hAnsi="Arial" w:cs="Arial"/>
          <w:sz w:val="22"/>
          <w:szCs w:val="22"/>
        </w:rPr>
        <w:t>LEAVE</w:t>
      </w:r>
    </w:p>
    <w:p w:rsidR="00D51BA4" w:rsidRPr="00015533" w:rsidRDefault="00D51BA4" w:rsidP="00D51BA4">
      <w:pPr>
        <w:pStyle w:val="ListParagraph"/>
        <w:ind w:left="-567"/>
        <w:jc w:val="both"/>
        <w:rPr>
          <w:rFonts w:ascii="Arial" w:hAnsi="Arial" w:cs="Arial"/>
          <w:sz w:val="22"/>
          <w:szCs w:val="22"/>
        </w:rPr>
      </w:pPr>
    </w:p>
    <w:p w:rsidR="00D51BA4" w:rsidRDefault="00D51BA4" w:rsidP="00D51BA4">
      <w:pPr>
        <w:pStyle w:val="ListParagraph"/>
        <w:numPr>
          <w:ilvl w:val="0"/>
          <w:numId w:val="3"/>
        </w:numPr>
        <w:jc w:val="both"/>
        <w:rPr>
          <w:rFonts w:ascii="Arial" w:hAnsi="Arial" w:cs="Arial"/>
          <w:sz w:val="20"/>
          <w:szCs w:val="20"/>
        </w:rPr>
      </w:pPr>
      <w:r w:rsidRPr="00D51BA4">
        <w:rPr>
          <w:rFonts w:ascii="Arial" w:hAnsi="Arial" w:cs="Arial"/>
          <w:sz w:val="22"/>
          <w:szCs w:val="22"/>
        </w:rPr>
        <w:t>No Safe job leave</w:t>
      </w:r>
      <w:r>
        <w:rPr>
          <w:rFonts w:ascii="Arial" w:hAnsi="Arial" w:cs="Arial"/>
          <w:sz w:val="20"/>
          <w:szCs w:val="20"/>
        </w:rPr>
        <w:t xml:space="preserve"> </w:t>
      </w:r>
    </w:p>
    <w:p w:rsidR="00D51BA4" w:rsidRDefault="00594678" w:rsidP="00D51BA4">
      <w:pPr>
        <w:pStyle w:val="ListParagraph"/>
        <w:ind w:left="11"/>
        <w:jc w:val="both"/>
        <w:rPr>
          <w:rFonts w:ascii="Arial" w:hAnsi="Arial" w:cs="Arial"/>
          <w:sz w:val="20"/>
          <w:szCs w:val="20"/>
        </w:rPr>
      </w:pPr>
      <w:r>
        <w:rPr>
          <w:rFonts w:ascii="Arial" w:hAnsi="Arial" w:cs="Arial"/>
          <w:sz w:val="20"/>
          <w:szCs w:val="20"/>
        </w:rPr>
        <w:t xml:space="preserve">This is </w:t>
      </w:r>
      <w:r w:rsidR="00D51BA4">
        <w:rPr>
          <w:rFonts w:ascii="Arial" w:hAnsi="Arial" w:cs="Arial"/>
          <w:sz w:val="20"/>
          <w:szCs w:val="20"/>
        </w:rPr>
        <w:t>a new provision where pregnant employees who cannot be relocated to appropriately safe jobs during their pregnancy will be able to absent themselves from work with no loss in entitlements</w:t>
      </w:r>
      <w:r>
        <w:rPr>
          <w:rFonts w:ascii="Arial" w:hAnsi="Arial" w:cs="Arial"/>
          <w:sz w:val="20"/>
          <w:szCs w:val="20"/>
        </w:rPr>
        <w:t xml:space="preserve"> </w:t>
      </w:r>
      <w:r w:rsidR="00D51BA4">
        <w:rPr>
          <w:rFonts w:ascii="Arial" w:hAnsi="Arial" w:cs="Arial"/>
          <w:sz w:val="20"/>
          <w:szCs w:val="20"/>
        </w:rPr>
        <w:t>(Clause 115).</w:t>
      </w:r>
    </w:p>
    <w:p w:rsidR="00A0354B" w:rsidRDefault="00A0354B" w:rsidP="00D51BA4">
      <w:pPr>
        <w:pStyle w:val="ListParagraph"/>
        <w:ind w:left="11"/>
        <w:jc w:val="both"/>
        <w:rPr>
          <w:rFonts w:ascii="Arial" w:hAnsi="Arial" w:cs="Arial"/>
        </w:rPr>
      </w:pPr>
    </w:p>
    <w:p w:rsidR="00A0354B" w:rsidRPr="00092E31" w:rsidRDefault="00A0354B" w:rsidP="00D51BA4">
      <w:pPr>
        <w:numPr>
          <w:ilvl w:val="0"/>
          <w:numId w:val="11"/>
        </w:numPr>
        <w:spacing w:after="0"/>
        <w:ind w:left="-426" w:firstLine="142"/>
        <w:jc w:val="both"/>
        <w:rPr>
          <w:rFonts w:ascii="Arial" w:hAnsi="Arial" w:cs="Arial"/>
        </w:rPr>
      </w:pPr>
      <w:r w:rsidRPr="00092E31">
        <w:rPr>
          <w:rFonts w:ascii="Arial" w:hAnsi="Arial" w:cs="Arial"/>
        </w:rPr>
        <w:t>Domestic Violence leave</w:t>
      </w:r>
    </w:p>
    <w:p w:rsidR="00A0354B" w:rsidRPr="00A0354B" w:rsidRDefault="00A0354B" w:rsidP="00D51BA4">
      <w:pPr>
        <w:spacing w:after="0"/>
        <w:jc w:val="both"/>
        <w:rPr>
          <w:rFonts w:ascii="Arial" w:hAnsi="Arial" w:cs="Arial"/>
          <w:sz w:val="20"/>
          <w:szCs w:val="20"/>
        </w:rPr>
      </w:pPr>
      <w:r w:rsidRPr="00A0354B">
        <w:rPr>
          <w:rFonts w:ascii="Arial" w:hAnsi="Arial" w:cs="Arial"/>
          <w:sz w:val="20"/>
          <w:szCs w:val="20"/>
        </w:rPr>
        <w:t>An entitlement of 20 days per annum paid domestic violence leave has been introduced. This w</w:t>
      </w:r>
      <w:r w:rsidR="009A4458">
        <w:rPr>
          <w:rFonts w:ascii="Arial" w:hAnsi="Arial" w:cs="Arial"/>
          <w:sz w:val="20"/>
          <w:szCs w:val="20"/>
        </w:rPr>
        <w:t>ill</w:t>
      </w:r>
      <w:r w:rsidRPr="00A0354B">
        <w:rPr>
          <w:rFonts w:ascii="Arial" w:hAnsi="Arial" w:cs="Arial"/>
          <w:sz w:val="20"/>
          <w:szCs w:val="20"/>
        </w:rPr>
        <w:t xml:space="preserve"> apply to employees suffering from domestic violence to support them in attending counselling appointments, legal/court proceedings, police appointments and to access alternative accommodation and/or make </w:t>
      </w:r>
      <w:r w:rsidR="00594678">
        <w:rPr>
          <w:rFonts w:ascii="Arial" w:hAnsi="Arial" w:cs="Arial"/>
          <w:sz w:val="20"/>
          <w:szCs w:val="20"/>
        </w:rPr>
        <w:t xml:space="preserve">arrangements involving children </w:t>
      </w:r>
      <w:r w:rsidR="00A81C82">
        <w:rPr>
          <w:rFonts w:ascii="Arial" w:hAnsi="Arial" w:cs="Arial"/>
          <w:sz w:val="20"/>
          <w:szCs w:val="20"/>
        </w:rPr>
        <w:t>(Clause 138)</w:t>
      </w:r>
      <w:r w:rsidR="00594678">
        <w:rPr>
          <w:rFonts w:ascii="Arial" w:hAnsi="Arial" w:cs="Arial"/>
          <w:sz w:val="20"/>
          <w:szCs w:val="20"/>
        </w:rPr>
        <w:t>.</w:t>
      </w:r>
    </w:p>
    <w:p w:rsidR="00A0354B" w:rsidRPr="00A0354B" w:rsidRDefault="00A0354B" w:rsidP="00D51BA4">
      <w:pPr>
        <w:pStyle w:val="ListParagraph"/>
        <w:ind w:left="0" w:firstLine="142"/>
        <w:jc w:val="both"/>
        <w:rPr>
          <w:rFonts w:ascii="Arial" w:hAnsi="Arial" w:cs="Arial"/>
          <w:b/>
          <w:sz w:val="20"/>
          <w:szCs w:val="20"/>
        </w:rPr>
      </w:pPr>
    </w:p>
    <w:p w:rsidR="00A0354B" w:rsidRPr="00092E31" w:rsidRDefault="00A0354B" w:rsidP="00D51BA4">
      <w:pPr>
        <w:pStyle w:val="ListParagraph"/>
        <w:numPr>
          <w:ilvl w:val="0"/>
          <w:numId w:val="10"/>
        </w:numPr>
        <w:ind w:left="-567" w:firstLine="283"/>
        <w:jc w:val="both"/>
        <w:rPr>
          <w:rFonts w:ascii="Arial" w:hAnsi="Arial" w:cs="Arial"/>
          <w:sz w:val="22"/>
          <w:szCs w:val="22"/>
        </w:rPr>
      </w:pPr>
      <w:r w:rsidRPr="00092E31">
        <w:rPr>
          <w:rFonts w:ascii="Arial" w:hAnsi="Arial" w:cs="Arial"/>
          <w:sz w:val="22"/>
          <w:szCs w:val="22"/>
        </w:rPr>
        <w:t>Fostering, short term caring, adoption and permanent care arrangements</w:t>
      </w:r>
    </w:p>
    <w:p w:rsidR="00A81C82" w:rsidRDefault="00A0354B" w:rsidP="00D51BA4">
      <w:pPr>
        <w:spacing w:after="0"/>
        <w:jc w:val="both"/>
        <w:rPr>
          <w:rFonts w:ascii="Arial" w:hAnsi="Arial" w:cs="Arial"/>
          <w:sz w:val="20"/>
          <w:szCs w:val="20"/>
        </w:rPr>
      </w:pPr>
      <w:r w:rsidRPr="00A0354B">
        <w:rPr>
          <w:rFonts w:ascii="Arial" w:hAnsi="Arial" w:cs="Arial"/>
          <w:sz w:val="20"/>
          <w:szCs w:val="20"/>
        </w:rPr>
        <w:t xml:space="preserve">New ‘fit for purpose’ leave clauses provide both paid and unpaid entitlements relating to fostering and short term caring arrangements, and adoption </w:t>
      </w:r>
      <w:r w:rsidR="00594678">
        <w:rPr>
          <w:rFonts w:ascii="Arial" w:hAnsi="Arial" w:cs="Arial"/>
          <w:sz w:val="20"/>
          <w:szCs w:val="20"/>
        </w:rPr>
        <w:t>and permanent care arrangements</w:t>
      </w:r>
    </w:p>
    <w:p w:rsidR="00A0354B" w:rsidRDefault="00A81C82" w:rsidP="00D51BA4">
      <w:pPr>
        <w:spacing w:after="0"/>
        <w:jc w:val="both"/>
        <w:rPr>
          <w:rFonts w:ascii="Arial" w:hAnsi="Arial" w:cs="Arial"/>
          <w:sz w:val="20"/>
          <w:szCs w:val="20"/>
        </w:rPr>
      </w:pPr>
      <w:r>
        <w:rPr>
          <w:rFonts w:ascii="Arial" w:hAnsi="Arial" w:cs="Arial"/>
          <w:sz w:val="20"/>
          <w:szCs w:val="20"/>
        </w:rPr>
        <w:t>(Clause 137)</w:t>
      </w:r>
      <w:r w:rsidR="00594678">
        <w:rPr>
          <w:rFonts w:ascii="Arial" w:hAnsi="Arial" w:cs="Arial"/>
          <w:sz w:val="20"/>
          <w:szCs w:val="20"/>
        </w:rPr>
        <w:t>.</w:t>
      </w:r>
    </w:p>
    <w:p w:rsidR="00A0354B" w:rsidRPr="00A0354B" w:rsidRDefault="00A0354B" w:rsidP="00D51BA4">
      <w:pPr>
        <w:spacing w:after="0"/>
        <w:jc w:val="both"/>
        <w:rPr>
          <w:rFonts w:ascii="Arial" w:hAnsi="Arial" w:cs="Arial"/>
          <w:sz w:val="20"/>
          <w:szCs w:val="20"/>
        </w:rPr>
      </w:pPr>
    </w:p>
    <w:p w:rsidR="00A0354B" w:rsidRPr="00092E31" w:rsidRDefault="00A0354B" w:rsidP="00D51BA4">
      <w:pPr>
        <w:pStyle w:val="ListParagraph"/>
        <w:numPr>
          <w:ilvl w:val="0"/>
          <w:numId w:val="10"/>
        </w:numPr>
        <w:ind w:left="0" w:hanging="284"/>
        <w:jc w:val="both"/>
        <w:rPr>
          <w:rFonts w:ascii="Arial" w:hAnsi="Arial" w:cs="Arial"/>
          <w:sz w:val="22"/>
          <w:szCs w:val="22"/>
        </w:rPr>
      </w:pPr>
      <w:r w:rsidRPr="00092E31">
        <w:rPr>
          <w:rFonts w:ascii="Arial" w:hAnsi="Arial" w:cs="Arial"/>
          <w:sz w:val="22"/>
          <w:szCs w:val="22"/>
        </w:rPr>
        <w:t>Defence Reserve Leave</w:t>
      </w:r>
    </w:p>
    <w:p w:rsidR="00A0354B" w:rsidRPr="00A0354B" w:rsidRDefault="00A0354B" w:rsidP="00D51BA4">
      <w:pPr>
        <w:pStyle w:val="ListParagraph"/>
        <w:ind w:left="0"/>
        <w:jc w:val="both"/>
        <w:rPr>
          <w:rFonts w:ascii="Arial" w:hAnsi="Arial" w:cs="Arial"/>
          <w:sz w:val="20"/>
          <w:szCs w:val="20"/>
        </w:rPr>
      </w:pPr>
      <w:r w:rsidRPr="00A0354B">
        <w:rPr>
          <w:rFonts w:ascii="Arial" w:hAnsi="Arial" w:cs="Arial"/>
          <w:sz w:val="20"/>
          <w:szCs w:val="20"/>
        </w:rPr>
        <w:t>A new Defence Reserve leave clause will provide a 20 day paid entitlement to align with the Defence Reserve Service (Protection) Act 2001 and the Defence Reserves Support Council’s recommended leave template</w:t>
      </w:r>
      <w:r w:rsidR="00D51BA4">
        <w:rPr>
          <w:rFonts w:ascii="Arial" w:hAnsi="Arial" w:cs="Arial"/>
          <w:sz w:val="20"/>
          <w:szCs w:val="20"/>
        </w:rPr>
        <w:t xml:space="preserve"> (</w:t>
      </w:r>
      <w:r w:rsidR="00A81C82">
        <w:rPr>
          <w:rFonts w:ascii="Arial" w:hAnsi="Arial" w:cs="Arial"/>
          <w:sz w:val="20"/>
          <w:szCs w:val="20"/>
        </w:rPr>
        <w:t>Schedule 10)</w:t>
      </w:r>
      <w:r w:rsidR="00594678">
        <w:rPr>
          <w:rFonts w:ascii="Arial" w:hAnsi="Arial" w:cs="Arial"/>
          <w:sz w:val="20"/>
          <w:szCs w:val="20"/>
        </w:rPr>
        <w:t>.</w:t>
      </w:r>
    </w:p>
    <w:p w:rsidR="00A0354B" w:rsidRPr="00A0354B" w:rsidRDefault="00A0354B" w:rsidP="00D51BA4">
      <w:pPr>
        <w:spacing w:after="0"/>
        <w:ind w:firstLine="142"/>
        <w:jc w:val="both"/>
        <w:rPr>
          <w:rFonts w:ascii="Arial" w:hAnsi="Arial" w:cs="Arial"/>
          <w:sz w:val="20"/>
          <w:szCs w:val="20"/>
        </w:rPr>
      </w:pPr>
    </w:p>
    <w:p w:rsidR="00A0354B" w:rsidRDefault="00A0354B" w:rsidP="00D51BA4">
      <w:pPr>
        <w:pStyle w:val="ListParagraph"/>
        <w:numPr>
          <w:ilvl w:val="0"/>
          <w:numId w:val="10"/>
        </w:numPr>
        <w:ind w:left="-284" w:firstLine="0"/>
        <w:jc w:val="both"/>
        <w:rPr>
          <w:rFonts w:ascii="Arial" w:hAnsi="Arial" w:cs="Arial"/>
          <w:sz w:val="20"/>
          <w:szCs w:val="20"/>
        </w:rPr>
      </w:pPr>
      <w:r w:rsidRPr="00092E31">
        <w:rPr>
          <w:rFonts w:ascii="Arial" w:hAnsi="Arial" w:cs="Arial"/>
          <w:sz w:val="22"/>
          <w:szCs w:val="22"/>
        </w:rPr>
        <w:t xml:space="preserve">Paid maternity leave, primary care giver and adoption and permanent care leave </w:t>
      </w:r>
      <w:r w:rsidR="00092E31">
        <w:rPr>
          <w:rFonts w:ascii="Arial" w:hAnsi="Arial" w:cs="Arial"/>
          <w:sz w:val="22"/>
          <w:szCs w:val="22"/>
        </w:rPr>
        <w:tab/>
      </w:r>
      <w:r w:rsidRPr="00092E31">
        <w:rPr>
          <w:rFonts w:ascii="Arial" w:hAnsi="Arial" w:cs="Arial"/>
          <w:sz w:val="22"/>
          <w:szCs w:val="22"/>
        </w:rPr>
        <w:t>calculation</w:t>
      </w:r>
      <w:r>
        <w:rPr>
          <w:rFonts w:ascii="Arial" w:hAnsi="Arial" w:cs="Arial"/>
          <w:sz w:val="20"/>
          <w:szCs w:val="20"/>
        </w:rPr>
        <w:t>.</w:t>
      </w:r>
    </w:p>
    <w:p w:rsidR="00A0354B" w:rsidRDefault="00A0354B" w:rsidP="00D51BA4">
      <w:pPr>
        <w:pStyle w:val="ListParagraph"/>
        <w:ind w:left="0"/>
        <w:jc w:val="both"/>
        <w:rPr>
          <w:rFonts w:ascii="Arial" w:hAnsi="Arial" w:cs="Arial"/>
          <w:sz w:val="20"/>
          <w:szCs w:val="20"/>
        </w:rPr>
      </w:pPr>
      <w:r w:rsidRPr="00A0354B">
        <w:rPr>
          <w:rFonts w:ascii="Arial" w:hAnsi="Arial" w:cs="Arial"/>
          <w:sz w:val="20"/>
          <w:szCs w:val="20"/>
        </w:rPr>
        <w:t>In order to ensure the equitable application of paid Maternity, primary care giver and adoption and permanent care leave the method by which the entitlement is determined has changed.</w:t>
      </w:r>
    </w:p>
    <w:p w:rsidR="00A0354B" w:rsidRPr="00A0354B" w:rsidRDefault="00A0354B" w:rsidP="00D51BA4">
      <w:pPr>
        <w:pStyle w:val="ListParagraph"/>
        <w:ind w:left="0"/>
        <w:jc w:val="both"/>
        <w:rPr>
          <w:rFonts w:ascii="Arial" w:hAnsi="Arial" w:cs="Arial"/>
          <w:sz w:val="20"/>
          <w:szCs w:val="20"/>
        </w:rPr>
      </w:pPr>
      <w:r w:rsidRPr="00A0354B">
        <w:rPr>
          <w:rFonts w:ascii="Arial" w:hAnsi="Arial" w:cs="Arial"/>
          <w:sz w:val="20"/>
          <w:szCs w:val="20"/>
        </w:rPr>
        <w:lastRenderedPageBreak/>
        <w:t>The hours worked in the 12 months immediately prior to the leave period commencing will be averaged</w:t>
      </w:r>
      <w:r w:rsidR="00594678">
        <w:rPr>
          <w:rFonts w:ascii="Arial" w:hAnsi="Arial" w:cs="Arial"/>
          <w:sz w:val="20"/>
          <w:szCs w:val="20"/>
        </w:rPr>
        <w:t xml:space="preserve"> </w:t>
      </w:r>
      <w:r w:rsidR="00D51BA4">
        <w:rPr>
          <w:rFonts w:ascii="Arial" w:hAnsi="Arial" w:cs="Arial"/>
          <w:sz w:val="20"/>
          <w:szCs w:val="20"/>
        </w:rPr>
        <w:t>(</w:t>
      </w:r>
      <w:r w:rsidR="00594678">
        <w:rPr>
          <w:rFonts w:ascii="Arial" w:hAnsi="Arial" w:cs="Arial"/>
          <w:sz w:val="20"/>
          <w:szCs w:val="20"/>
        </w:rPr>
        <w:t>C</w:t>
      </w:r>
      <w:r w:rsidR="00A81C82">
        <w:rPr>
          <w:rFonts w:ascii="Arial" w:hAnsi="Arial" w:cs="Arial"/>
          <w:sz w:val="20"/>
          <w:szCs w:val="20"/>
        </w:rPr>
        <w:t>lause 130).</w:t>
      </w:r>
    </w:p>
    <w:p w:rsidR="00A0354B" w:rsidRPr="00A0354B" w:rsidRDefault="00A0354B" w:rsidP="00D51BA4">
      <w:pPr>
        <w:spacing w:after="0"/>
        <w:ind w:firstLine="142"/>
        <w:jc w:val="both"/>
        <w:rPr>
          <w:rFonts w:ascii="Arial" w:hAnsi="Arial" w:cs="Arial"/>
          <w:sz w:val="20"/>
          <w:szCs w:val="20"/>
        </w:rPr>
      </w:pPr>
    </w:p>
    <w:p w:rsidR="00A0354B" w:rsidRPr="00092E31" w:rsidRDefault="00A0354B" w:rsidP="00D51BA4">
      <w:pPr>
        <w:numPr>
          <w:ilvl w:val="0"/>
          <w:numId w:val="10"/>
        </w:numPr>
        <w:spacing w:after="0"/>
        <w:ind w:left="-284" w:firstLine="0"/>
        <w:jc w:val="both"/>
        <w:rPr>
          <w:rFonts w:ascii="Arial" w:hAnsi="Arial" w:cs="Arial"/>
        </w:rPr>
      </w:pPr>
      <w:r w:rsidRPr="00092E31">
        <w:rPr>
          <w:rFonts w:ascii="Arial" w:hAnsi="Arial" w:cs="Arial"/>
        </w:rPr>
        <w:t>Bonding leave</w:t>
      </w:r>
    </w:p>
    <w:p w:rsidR="000414B6" w:rsidRDefault="00A0354B" w:rsidP="00D51BA4">
      <w:pPr>
        <w:spacing w:after="0"/>
        <w:jc w:val="both"/>
        <w:rPr>
          <w:rFonts w:ascii="Arial" w:hAnsi="Arial" w:cs="Arial"/>
          <w:sz w:val="20"/>
          <w:szCs w:val="20"/>
        </w:rPr>
      </w:pPr>
      <w:r w:rsidRPr="00A0354B">
        <w:rPr>
          <w:rFonts w:ascii="Arial" w:hAnsi="Arial" w:cs="Arial"/>
          <w:sz w:val="20"/>
          <w:szCs w:val="20"/>
        </w:rPr>
        <w:t xml:space="preserve">The entitlement to bonding leave </w:t>
      </w:r>
      <w:r w:rsidR="009A4458">
        <w:rPr>
          <w:rFonts w:ascii="Arial" w:hAnsi="Arial" w:cs="Arial"/>
          <w:sz w:val="20"/>
          <w:szCs w:val="20"/>
        </w:rPr>
        <w:t>has</w:t>
      </w:r>
      <w:r w:rsidRPr="00A0354B">
        <w:rPr>
          <w:rFonts w:ascii="Arial" w:hAnsi="Arial" w:cs="Arial"/>
          <w:sz w:val="20"/>
          <w:szCs w:val="20"/>
        </w:rPr>
        <w:t xml:space="preserve"> increased to a maximum eight week period providing for additional periods of concurrent unpaid leave that will </w:t>
      </w:r>
      <w:r>
        <w:rPr>
          <w:rFonts w:ascii="Arial" w:hAnsi="Arial" w:cs="Arial"/>
          <w:sz w:val="20"/>
          <w:szCs w:val="20"/>
        </w:rPr>
        <w:t>build</w:t>
      </w:r>
      <w:r w:rsidRPr="00A0354B">
        <w:rPr>
          <w:rFonts w:ascii="Arial" w:hAnsi="Arial" w:cs="Arial"/>
          <w:sz w:val="20"/>
          <w:szCs w:val="20"/>
        </w:rPr>
        <w:t xml:space="preserve"> o</w:t>
      </w:r>
      <w:r w:rsidR="00594678">
        <w:rPr>
          <w:rFonts w:ascii="Arial" w:hAnsi="Arial" w:cs="Arial"/>
          <w:sz w:val="20"/>
          <w:szCs w:val="20"/>
        </w:rPr>
        <w:t>n the existing paid entitlement (Clause 134).</w:t>
      </w:r>
    </w:p>
    <w:p w:rsidR="000414B6" w:rsidRDefault="000414B6" w:rsidP="00D51BA4">
      <w:pPr>
        <w:spacing w:after="0"/>
        <w:jc w:val="both"/>
        <w:rPr>
          <w:rFonts w:ascii="Arial" w:hAnsi="Arial" w:cs="Arial"/>
          <w:sz w:val="20"/>
          <w:szCs w:val="20"/>
        </w:rPr>
      </w:pPr>
    </w:p>
    <w:p w:rsidR="000414B6" w:rsidRPr="00092E31" w:rsidRDefault="00092E31" w:rsidP="00D51BA4">
      <w:pPr>
        <w:pStyle w:val="ListParagraph"/>
        <w:numPr>
          <w:ilvl w:val="0"/>
          <w:numId w:val="10"/>
        </w:numPr>
        <w:ind w:left="-284" w:firstLine="0"/>
        <w:jc w:val="both"/>
        <w:rPr>
          <w:rFonts w:ascii="Arial" w:hAnsi="Arial" w:cs="Arial"/>
          <w:sz w:val="22"/>
          <w:szCs w:val="22"/>
        </w:rPr>
      </w:pPr>
      <w:r w:rsidRPr="00092E31">
        <w:rPr>
          <w:rFonts w:ascii="Arial" w:hAnsi="Arial" w:cs="Arial"/>
          <w:sz w:val="22"/>
          <w:szCs w:val="22"/>
        </w:rPr>
        <w:t>Cash out of leave</w:t>
      </w:r>
    </w:p>
    <w:p w:rsidR="00092E31" w:rsidRDefault="00092E31" w:rsidP="00D51BA4">
      <w:pPr>
        <w:pStyle w:val="ListParagraph"/>
        <w:ind w:left="0" w:hanging="284"/>
        <w:jc w:val="both"/>
        <w:rPr>
          <w:rFonts w:ascii="Arial" w:hAnsi="Arial" w:cs="Arial"/>
          <w:sz w:val="20"/>
          <w:szCs w:val="20"/>
        </w:rPr>
      </w:pPr>
      <w:r>
        <w:rPr>
          <w:rFonts w:ascii="Arial" w:hAnsi="Arial" w:cs="Arial"/>
          <w:sz w:val="20"/>
          <w:szCs w:val="20"/>
        </w:rPr>
        <w:tab/>
        <w:t>Annual leave can now be cashed out multiple times throughout the year, provided one week of leave has been taken in the past six months, or in conjunction with the cash out and the remaining balance of annual leave is not less than one year’s</w:t>
      </w:r>
      <w:r w:rsidR="0030523C">
        <w:rPr>
          <w:rFonts w:ascii="Arial" w:hAnsi="Arial" w:cs="Arial"/>
          <w:sz w:val="20"/>
          <w:szCs w:val="20"/>
        </w:rPr>
        <w:t xml:space="preserve"> credit (Clause 121).</w:t>
      </w:r>
    </w:p>
    <w:p w:rsidR="00092E31" w:rsidRDefault="00092E31" w:rsidP="00D51BA4">
      <w:pPr>
        <w:pStyle w:val="ListParagraph"/>
        <w:ind w:left="0" w:hanging="284"/>
        <w:jc w:val="both"/>
        <w:rPr>
          <w:rFonts w:ascii="Arial" w:hAnsi="Arial" w:cs="Arial"/>
          <w:sz w:val="20"/>
          <w:szCs w:val="20"/>
        </w:rPr>
      </w:pPr>
    </w:p>
    <w:p w:rsidR="00092E31" w:rsidRDefault="00092E31" w:rsidP="00D51BA4">
      <w:pPr>
        <w:pStyle w:val="ListParagraph"/>
        <w:ind w:left="0"/>
        <w:jc w:val="both"/>
        <w:rPr>
          <w:rFonts w:ascii="Arial" w:hAnsi="Arial" w:cs="Arial"/>
          <w:sz w:val="20"/>
          <w:szCs w:val="20"/>
        </w:rPr>
      </w:pPr>
      <w:r>
        <w:rPr>
          <w:rFonts w:ascii="Arial" w:hAnsi="Arial" w:cs="Arial"/>
          <w:sz w:val="20"/>
          <w:szCs w:val="20"/>
        </w:rPr>
        <w:t>Long service leave can now be cashed out in full or par</w:t>
      </w:r>
      <w:r w:rsidR="0030523C">
        <w:rPr>
          <w:rFonts w:ascii="Arial" w:hAnsi="Arial" w:cs="Arial"/>
          <w:sz w:val="20"/>
          <w:szCs w:val="20"/>
        </w:rPr>
        <w:t>tially up to the accrued credit (Clause140).</w:t>
      </w:r>
    </w:p>
    <w:p w:rsidR="00092E31" w:rsidRDefault="00092E31" w:rsidP="00D51BA4">
      <w:pPr>
        <w:pStyle w:val="ListParagraph"/>
        <w:ind w:left="0" w:hanging="284"/>
        <w:jc w:val="both"/>
        <w:rPr>
          <w:rFonts w:ascii="Arial" w:hAnsi="Arial" w:cs="Arial"/>
          <w:sz w:val="20"/>
          <w:szCs w:val="20"/>
        </w:rPr>
      </w:pPr>
    </w:p>
    <w:p w:rsidR="003D5CBA" w:rsidRPr="00092E31" w:rsidRDefault="00A557E5" w:rsidP="00D51BA4">
      <w:pPr>
        <w:ind w:left="-349"/>
        <w:jc w:val="both"/>
        <w:rPr>
          <w:rFonts w:ascii="Arial" w:hAnsi="Arial" w:cs="Arial"/>
        </w:rPr>
      </w:pPr>
      <w:r w:rsidRPr="00022820">
        <w:rPr>
          <w:rFonts w:ascii="Arial" w:hAnsi="Arial" w:cs="Arial"/>
        </w:rPr>
        <w:t>   </w:t>
      </w:r>
      <w:r w:rsidR="003D5CBA" w:rsidRPr="00092E31">
        <w:rPr>
          <w:rFonts w:ascii="Arial" w:hAnsi="Arial" w:cs="Arial"/>
        </w:rPr>
        <w:t>OTHER MATTERS</w:t>
      </w:r>
    </w:p>
    <w:p w:rsidR="00092E31" w:rsidRDefault="00092E31" w:rsidP="00D51BA4">
      <w:pPr>
        <w:pStyle w:val="ListParagraph"/>
        <w:numPr>
          <w:ilvl w:val="0"/>
          <w:numId w:val="10"/>
        </w:numPr>
        <w:ind w:left="-284" w:hanging="142"/>
        <w:jc w:val="both"/>
        <w:rPr>
          <w:rFonts w:ascii="Arial" w:hAnsi="Arial" w:cs="Arial"/>
          <w:sz w:val="20"/>
          <w:szCs w:val="20"/>
        </w:rPr>
      </w:pPr>
      <w:r w:rsidRPr="00092E31">
        <w:rPr>
          <w:rFonts w:ascii="Arial" w:hAnsi="Arial" w:cs="Arial"/>
          <w:sz w:val="20"/>
          <w:szCs w:val="20"/>
        </w:rPr>
        <w:tab/>
        <w:t xml:space="preserve">The nominal expiry date for </w:t>
      </w:r>
      <w:r w:rsidR="0030523C">
        <w:rPr>
          <w:rFonts w:ascii="Arial" w:hAnsi="Arial" w:cs="Arial"/>
          <w:sz w:val="20"/>
          <w:szCs w:val="20"/>
        </w:rPr>
        <w:t>the Agreement is 30 June 2017 (C</w:t>
      </w:r>
      <w:r w:rsidRPr="00092E31">
        <w:rPr>
          <w:rFonts w:ascii="Arial" w:hAnsi="Arial" w:cs="Arial"/>
          <w:sz w:val="20"/>
          <w:szCs w:val="20"/>
        </w:rPr>
        <w:t>lause 4).</w:t>
      </w:r>
    </w:p>
    <w:p w:rsidR="000244B9" w:rsidRDefault="000244B9" w:rsidP="00D51BA4">
      <w:pPr>
        <w:pStyle w:val="ListParagraph"/>
        <w:ind w:left="-284"/>
        <w:jc w:val="both"/>
        <w:rPr>
          <w:rFonts w:ascii="Arial" w:hAnsi="Arial" w:cs="Arial"/>
          <w:sz w:val="20"/>
          <w:szCs w:val="20"/>
        </w:rPr>
      </w:pPr>
    </w:p>
    <w:p w:rsidR="000244B9" w:rsidRPr="000244B9" w:rsidRDefault="000244B9" w:rsidP="00D51BA4">
      <w:pPr>
        <w:pStyle w:val="ListParagraph"/>
        <w:numPr>
          <w:ilvl w:val="0"/>
          <w:numId w:val="10"/>
        </w:numPr>
        <w:ind w:left="-426" w:firstLine="0"/>
        <w:jc w:val="both"/>
        <w:rPr>
          <w:rFonts w:ascii="Arial" w:hAnsi="Arial" w:cs="Arial"/>
          <w:sz w:val="20"/>
          <w:szCs w:val="20"/>
        </w:rPr>
      </w:pPr>
      <w:r>
        <w:rPr>
          <w:rFonts w:ascii="Arial" w:hAnsi="Arial" w:cs="Arial"/>
          <w:sz w:val="20"/>
          <w:szCs w:val="20"/>
        </w:rPr>
        <w:t xml:space="preserve">Rostering guidelines and efficiencies have been added to ensure fairness and equity when creating </w:t>
      </w:r>
      <w:r>
        <w:rPr>
          <w:rFonts w:ascii="Arial" w:hAnsi="Arial" w:cs="Arial"/>
          <w:sz w:val="20"/>
          <w:szCs w:val="20"/>
        </w:rPr>
        <w:tab/>
        <w:t xml:space="preserve">rosters and to also provide effective, efficient and safe levels of client care and to promote </w:t>
      </w:r>
      <w:r>
        <w:rPr>
          <w:rFonts w:ascii="Arial" w:hAnsi="Arial" w:cs="Arial"/>
          <w:sz w:val="20"/>
          <w:szCs w:val="20"/>
        </w:rPr>
        <w:tab/>
        <w:t>employees safety, health and welfare</w:t>
      </w:r>
      <w:r w:rsidR="0030523C">
        <w:rPr>
          <w:rFonts w:ascii="Arial" w:hAnsi="Arial" w:cs="Arial"/>
          <w:sz w:val="20"/>
          <w:szCs w:val="20"/>
        </w:rPr>
        <w:t xml:space="preserve"> (Clause 79).</w:t>
      </w:r>
    </w:p>
    <w:p w:rsidR="000244B9" w:rsidRPr="00092E31" w:rsidRDefault="000244B9" w:rsidP="00D51BA4">
      <w:pPr>
        <w:pStyle w:val="ListParagraph"/>
        <w:ind w:left="-284"/>
        <w:jc w:val="both"/>
        <w:rPr>
          <w:rFonts w:ascii="Arial" w:hAnsi="Arial" w:cs="Arial"/>
          <w:sz w:val="20"/>
          <w:szCs w:val="20"/>
        </w:rPr>
      </w:pPr>
    </w:p>
    <w:p w:rsidR="008D49F7" w:rsidRDefault="00137704" w:rsidP="00D51BA4">
      <w:pPr>
        <w:pStyle w:val="ListParagraph"/>
        <w:numPr>
          <w:ilvl w:val="0"/>
          <w:numId w:val="10"/>
        </w:numPr>
        <w:ind w:left="-426" w:firstLine="0"/>
        <w:jc w:val="both"/>
        <w:rPr>
          <w:rFonts w:ascii="Arial" w:hAnsi="Arial" w:cs="Arial"/>
          <w:sz w:val="20"/>
          <w:szCs w:val="20"/>
        </w:rPr>
      </w:pPr>
      <w:r w:rsidRPr="00092E31">
        <w:rPr>
          <w:rFonts w:ascii="Arial" w:hAnsi="Arial" w:cs="Arial"/>
          <w:sz w:val="20"/>
          <w:szCs w:val="20"/>
        </w:rPr>
        <w:t>C</w:t>
      </w:r>
      <w:r w:rsidR="007B1F95" w:rsidRPr="00092E31">
        <w:rPr>
          <w:rFonts w:ascii="Arial" w:hAnsi="Arial" w:cs="Arial"/>
          <w:sz w:val="20"/>
          <w:szCs w:val="20"/>
        </w:rPr>
        <w:t>hanges have been made to Schedule 2</w:t>
      </w:r>
      <w:r w:rsidRPr="00092E31">
        <w:rPr>
          <w:rFonts w:ascii="Arial" w:hAnsi="Arial" w:cs="Arial"/>
          <w:sz w:val="20"/>
          <w:szCs w:val="20"/>
        </w:rPr>
        <w:t xml:space="preserve"> – </w:t>
      </w:r>
      <w:r w:rsidR="008D49F7">
        <w:rPr>
          <w:rFonts w:ascii="Arial" w:hAnsi="Arial" w:cs="Arial"/>
          <w:sz w:val="20"/>
          <w:szCs w:val="20"/>
        </w:rPr>
        <w:t xml:space="preserve">Attraction and Retention Incentives (ARIns), formally </w:t>
      </w:r>
      <w:r w:rsidR="008D49F7">
        <w:rPr>
          <w:rFonts w:ascii="Arial" w:hAnsi="Arial" w:cs="Arial"/>
          <w:sz w:val="20"/>
          <w:szCs w:val="20"/>
        </w:rPr>
        <w:tab/>
      </w:r>
      <w:r w:rsidRPr="00092E31">
        <w:rPr>
          <w:rFonts w:ascii="Arial" w:hAnsi="Arial" w:cs="Arial"/>
          <w:sz w:val="20"/>
          <w:szCs w:val="20"/>
        </w:rPr>
        <w:t>Special Employment Arrangements (SEAs)</w:t>
      </w:r>
      <w:r w:rsidR="008D49F7">
        <w:rPr>
          <w:rFonts w:ascii="Arial" w:hAnsi="Arial" w:cs="Arial"/>
          <w:sz w:val="20"/>
          <w:szCs w:val="20"/>
        </w:rPr>
        <w:t xml:space="preserve">. The ARIns will automatically cease, after 15 months, </w:t>
      </w:r>
      <w:r w:rsidR="008D49F7">
        <w:rPr>
          <w:rFonts w:ascii="Arial" w:hAnsi="Arial" w:cs="Arial"/>
          <w:sz w:val="20"/>
          <w:szCs w:val="20"/>
        </w:rPr>
        <w:tab/>
        <w:t>unless they are reviewed and extended or renewed.</w:t>
      </w:r>
    </w:p>
    <w:p w:rsidR="000244B9" w:rsidRDefault="000244B9" w:rsidP="00D51BA4">
      <w:pPr>
        <w:pStyle w:val="ListParagraph"/>
        <w:ind w:left="-426"/>
        <w:jc w:val="both"/>
        <w:rPr>
          <w:rFonts w:ascii="Arial" w:hAnsi="Arial" w:cs="Arial"/>
          <w:sz w:val="20"/>
          <w:szCs w:val="20"/>
        </w:rPr>
      </w:pPr>
    </w:p>
    <w:p w:rsidR="000244B9" w:rsidRDefault="008D49F7" w:rsidP="00D51BA4">
      <w:pPr>
        <w:pStyle w:val="ListParagraph"/>
        <w:numPr>
          <w:ilvl w:val="0"/>
          <w:numId w:val="10"/>
        </w:numPr>
        <w:ind w:left="-426" w:firstLine="0"/>
        <w:jc w:val="both"/>
        <w:rPr>
          <w:rFonts w:ascii="Arial" w:hAnsi="Arial" w:cs="Arial"/>
          <w:sz w:val="20"/>
          <w:szCs w:val="20"/>
        </w:rPr>
      </w:pPr>
      <w:r w:rsidRPr="000244B9">
        <w:rPr>
          <w:rFonts w:ascii="Arial" w:hAnsi="Arial" w:cs="Arial"/>
          <w:sz w:val="20"/>
          <w:szCs w:val="20"/>
        </w:rPr>
        <w:t>Probation has been extended to 6 months, fr</w:t>
      </w:r>
      <w:r w:rsidR="0030523C">
        <w:rPr>
          <w:rFonts w:ascii="Arial" w:hAnsi="Arial" w:cs="Arial"/>
          <w:sz w:val="20"/>
          <w:szCs w:val="20"/>
        </w:rPr>
        <w:t xml:space="preserve">om the current </w:t>
      </w:r>
      <w:r w:rsidR="009138CD">
        <w:rPr>
          <w:rFonts w:ascii="Arial" w:hAnsi="Arial" w:cs="Arial"/>
          <w:sz w:val="20"/>
          <w:szCs w:val="20"/>
        </w:rPr>
        <w:t xml:space="preserve">3 </w:t>
      </w:r>
      <w:r w:rsidR="0030523C">
        <w:rPr>
          <w:rFonts w:ascii="Arial" w:hAnsi="Arial" w:cs="Arial"/>
          <w:sz w:val="20"/>
          <w:szCs w:val="20"/>
        </w:rPr>
        <w:t>month duration (Clause 68).</w:t>
      </w:r>
    </w:p>
    <w:p w:rsidR="000244B9" w:rsidRDefault="000244B9" w:rsidP="00D51BA4">
      <w:pPr>
        <w:pStyle w:val="ListParagraph"/>
        <w:ind w:left="-426"/>
        <w:jc w:val="both"/>
        <w:rPr>
          <w:rFonts w:ascii="Arial" w:hAnsi="Arial" w:cs="Arial"/>
          <w:sz w:val="20"/>
          <w:szCs w:val="20"/>
        </w:rPr>
      </w:pPr>
    </w:p>
    <w:p w:rsidR="008D49F7" w:rsidRDefault="008D49F7" w:rsidP="00D51BA4">
      <w:pPr>
        <w:pStyle w:val="ListParagraph"/>
        <w:numPr>
          <w:ilvl w:val="0"/>
          <w:numId w:val="10"/>
        </w:numPr>
        <w:ind w:left="-426" w:firstLine="0"/>
        <w:jc w:val="both"/>
        <w:rPr>
          <w:rFonts w:ascii="Arial" w:hAnsi="Arial" w:cs="Arial"/>
          <w:sz w:val="20"/>
          <w:szCs w:val="20"/>
        </w:rPr>
      </w:pPr>
      <w:r w:rsidRPr="000244B9">
        <w:rPr>
          <w:rFonts w:ascii="Arial" w:hAnsi="Arial" w:cs="Arial"/>
          <w:sz w:val="20"/>
          <w:szCs w:val="20"/>
        </w:rPr>
        <w:t xml:space="preserve">Leave planning (Clause 142) has become more simplified with fewer restrictions on timeframes for </w:t>
      </w:r>
      <w:r w:rsidRPr="000244B9">
        <w:rPr>
          <w:rFonts w:ascii="Arial" w:hAnsi="Arial" w:cs="Arial"/>
          <w:sz w:val="20"/>
          <w:szCs w:val="20"/>
        </w:rPr>
        <w:tab/>
        <w:t>staff to apply for leave, with guidelines for managers and staff outlined in schedule 6.</w:t>
      </w:r>
    </w:p>
    <w:p w:rsidR="000244B9" w:rsidRPr="000244B9" w:rsidRDefault="000244B9" w:rsidP="00D51BA4">
      <w:pPr>
        <w:pStyle w:val="ListParagraph"/>
        <w:ind w:left="-426"/>
        <w:jc w:val="both"/>
        <w:rPr>
          <w:rFonts w:ascii="Arial" w:hAnsi="Arial" w:cs="Arial"/>
          <w:sz w:val="20"/>
          <w:szCs w:val="20"/>
        </w:rPr>
      </w:pPr>
    </w:p>
    <w:p w:rsidR="008D49F7" w:rsidRDefault="000244B9" w:rsidP="00D51BA4">
      <w:pPr>
        <w:pStyle w:val="ListParagraph"/>
        <w:numPr>
          <w:ilvl w:val="0"/>
          <w:numId w:val="10"/>
        </w:numPr>
        <w:ind w:left="-426" w:firstLine="0"/>
        <w:jc w:val="both"/>
        <w:rPr>
          <w:rFonts w:ascii="Arial" w:hAnsi="Arial" w:cs="Arial"/>
          <w:sz w:val="20"/>
          <w:szCs w:val="20"/>
        </w:rPr>
      </w:pPr>
      <w:r>
        <w:rPr>
          <w:rFonts w:ascii="Arial" w:hAnsi="Arial" w:cs="Arial"/>
          <w:sz w:val="20"/>
          <w:szCs w:val="20"/>
        </w:rPr>
        <w:t xml:space="preserve">Purchase leave provisions for school nurses have been made clear with specific time frames and </w:t>
      </w:r>
      <w:r>
        <w:rPr>
          <w:rFonts w:ascii="Arial" w:hAnsi="Arial" w:cs="Arial"/>
          <w:sz w:val="20"/>
          <w:szCs w:val="20"/>
        </w:rPr>
        <w:tab/>
        <w:t xml:space="preserve">conditions. (Schedule 4). </w:t>
      </w:r>
    </w:p>
    <w:p w:rsidR="00022820" w:rsidRPr="00022820" w:rsidRDefault="00022820" w:rsidP="00D51BA4">
      <w:pPr>
        <w:pStyle w:val="ListParagraph"/>
        <w:ind w:left="0"/>
        <w:jc w:val="both"/>
        <w:rPr>
          <w:rFonts w:ascii="Arial" w:hAnsi="Arial" w:cs="Arial"/>
        </w:rPr>
      </w:pPr>
    </w:p>
    <w:p w:rsidR="003D5CBA" w:rsidRDefault="00022820" w:rsidP="00D51BA4">
      <w:pPr>
        <w:ind w:left="-709"/>
        <w:jc w:val="both"/>
        <w:rPr>
          <w:rFonts w:ascii="Arial" w:hAnsi="Arial" w:cs="Arial"/>
          <w:sz w:val="20"/>
          <w:szCs w:val="20"/>
        </w:rPr>
      </w:pPr>
      <w:r w:rsidRPr="006C5DD9">
        <w:rPr>
          <w:rFonts w:ascii="Arial" w:hAnsi="Arial" w:cs="Arial"/>
          <w:sz w:val="20"/>
          <w:szCs w:val="20"/>
        </w:rPr>
        <w:t>If you have any questions,</w:t>
      </w:r>
      <w:r w:rsidRPr="006C5DD9">
        <w:rPr>
          <w:rFonts w:ascii="Arial" w:hAnsi="Arial" w:cs="Arial"/>
          <w:color w:val="1F497D"/>
          <w:sz w:val="20"/>
          <w:szCs w:val="20"/>
        </w:rPr>
        <w:t xml:space="preserve"> </w:t>
      </w:r>
      <w:r w:rsidRPr="006C5DD9">
        <w:rPr>
          <w:rFonts w:ascii="Arial" w:hAnsi="Arial" w:cs="Arial"/>
          <w:sz w:val="20"/>
          <w:szCs w:val="20"/>
        </w:rPr>
        <w:t xml:space="preserve">please contact the </w:t>
      </w:r>
      <w:r w:rsidR="000244B9" w:rsidRPr="006C5DD9">
        <w:rPr>
          <w:rFonts w:ascii="Arial" w:hAnsi="Arial" w:cs="Arial"/>
          <w:sz w:val="20"/>
          <w:szCs w:val="20"/>
        </w:rPr>
        <w:t xml:space="preserve">Industrial </w:t>
      </w:r>
      <w:r w:rsidRPr="006C5DD9">
        <w:rPr>
          <w:rFonts w:ascii="Arial" w:hAnsi="Arial" w:cs="Arial"/>
          <w:sz w:val="20"/>
          <w:szCs w:val="20"/>
        </w:rPr>
        <w:t>Relations Unit of the Health Directorate (Steven Linton on 6207 5569) or HR of Calvary Health Care ACT Inc (David Prior on 6201 6120).</w:t>
      </w:r>
      <w:r w:rsidR="00C823EF">
        <w:rPr>
          <w:rFonts w:ascii="Arial" w:hAnsi="Arial" w:cs="Arial"/>
          <w:sz w:val="20"/>
          <w:szCs w:val="20"/>
        </w:rPr>
        <w:t xml:space="preserve"> Or you can send in a question to </w:t>
      </w:r>
      <w:hyperlink r:id="rId8" w:history="1">
        <w:r w:rsidR="00C823EF" w:rsidRPr="00C823EF">
          <w:rPr>
            <w:rStyle w:val="Hyperlink"/>
            <w:rFonts w:ascii="Arial" w:hAnsi="Arial" w:cs="Arial"/>
            <w:sz w:val="20"/>
            <w:szCs w:val="20"/>
          </w:rPr>
          <w:t>Health EBA</w:t>
        </w:r>
      </w:hyperlink>
      <w:r w:rsidR="00C823EF">
        <w:rPr>
          <w:rFonts w:ascii="Arial" w:hAnsi="Arial" w:cs="Arial"/>
          <w:sz w:val="20"/>
          <w:szCs w:val="20"/>
        </w:rPr>
        <w:t>.</w:t>
      </w:r>
    </w:p>
    <w:p w:rsidR="00497B42" w:rsidRPr="006C5DD9" w:rsidRDefault="00497B42" w:rsidP="00497B42">
      <w:pPr>
        <w:ind w:left="-709"/>
        <w:rPr>
          <w:rFonts w:ascii="Times New Roman" w:hAnsi="Times New Roman" w:cs="Times New Roman"/>
          <w:sz w:val="20"/>
          <w:szCs w:val="20"/>
        </w:rPr>
      </w:pPr>
    </w:p>
    <w:sectPr w:rsidR="00497B42" w:rsidRPr="006C5DD9" w:rsidSect="00E01A6F">
      <w:headerReference w:type="first" r:id="rId9"/>
      <w:footerReference w:type="first" r:id="rId10"/>
      <w:pgSz w:w="11900" w:h="16840"/>
      <w:pgMar w:top="2268" w:right="1418" w:bottom="1418" w:left="1701" w:header="1701" w:footer="45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83B" w:rsidRDefault="0048183B">
      <w:r>
        <w:separator/>
      </w:r>
    </w:p>
  </w:endnote>
  <w:endnote w:type="continuationSeparator" w:id="0">
    <w:p w:rsidR="0048183B" w:rsidRDefault="004818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78" w:rsidRPr="00E266B3" w:rsidRDefault="00594678" w:rsidP="008049E9">
    <w:pPr>
      <w:pStyle w:val="Header"/>
      <w:tabs>
        <w:tab w:val="left" w:pos="993"/>
      </w:tabs>
      <w:spacing w:before="120"/>
      <w:ind w:right="-28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83B" w:rsidRDefault="0048183B">
      <w:r>
        <w:separator/>
      </w:r>
    </w:p>
  </w:footnote>
  <w:footnote w:type="continuationSeparator" w:id="0">
    <w:p w:rsidR="0048183B" w:rsidRDefault="00481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78" w:rsidRDefault="007E0EC0" w:rsidP="00E01A6F">
    <w:pPr>
      <w:pStyle w:val="Header"/>
      <w:jc w:val="left"/>
    </w:pPr>
    <w:r>
      <w:pict>
        <v:shapetype id="_x0000_t202" coordsize="21600,21600" o:spt="202" path="m,l,21600r21600,l21600,xe">
          <v:stroke joinstyle="miter"/>
          <v:path gradientshapeok="t" o:connecttype="rect"/>
        </v:shapetype>
        <v:shape id="_x0000_s2066" type="#_x0000_t202" style="position:absolute;margin-left:-25.65pt;margin-top:-35.2pt;width:174.2pt;height:63.45pt;z-index:251657728" stroked="f">
          <v:textbox style="mso-next-textbox:#_x0000_s2066;mso-fit-shape-to-text:t">
            <w:txbxContent>
              <w:p w:rsidR="00594678" w:rsidRDefault="00594678" w:rsidP="00E01A6F">
                <w:pPr>
                  <w:ind w:right="-1575"/>
                </w:pPr>
                <w:r w:rsidRPr="00BA44CE">
                  <w:rPr>
                    <w:noProof/>
                    <w:lang w:eastAsia="en-AU"/>
                  </w:rPr>
                  <w:drawing>
                    <wp:inline distT="0" distB="0" distL="0" distR="0">
                      <wp:extent cx="1339850" cy="680720"/>
                      <wp:effectExtent l="19050" t="0" r="0" b="0"/>
                      <wp:docPr id="2" name="Picture 1" descr="ACTGov_Health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Health_inline"/>
                              <pic:cNvPicPr>
                                <a:picLocks noChangeAspect="1" noChangeArrowheads="1"/>
                              </pic:cNvPicPr>
                            </pic:nvPicPr>
                            <pic:blipFill>
                              <a:blip r:embed="rId1"/>
                              <a:srcRect/>
                              <a:stretch>
                                <a:fillRect/>
                              </a:stretch>
                            </pic:blipFill>
                            <pic:spPr bwMode="auto">
                              <a:xfrm>
                                <a:off x="0" y="0"/>
                                <a:ext cx="1339850" cy="680720"/>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741B4"/>
    <w:multiLevelType w:val="hybridMultilevel"/>
    <w:tmpl w:val="910010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11534C"/>
    <w:multiLevelType w:val="hybridMultilevel"/>
    <w:tmpl w:val="A24CC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666F23"/>
    <w:multiLevelType w:val="hybridMultilevel"/>
    <w:tmpl w:val="C2C8EEE6"/>
    <w:lvl w:ilvl="0" w:tplc="0C090001">
      <w:start w:val="1"/>
      <w:numFmt w:val="bullet"/>
      <w:lvlText w:val=""/>
      <w:lvlJc w:val="left"/>
      <w:pPr>
        <w:ind w:left="60" w:hanging="360"/>
      </w:pPr>
      <w:rPr>
        <w:rFonts w:ascii="Symbol" w:hAnsi="Symbol" w:hint="default"/>
      </w:rPr>
    </w:lvl>
    <w:lvl w:ilvl="1" w:tplc="0C090003" w:tentative="1">
      <w:start w:val="1"/>
      <w:numFmt w:val="bullet"/>
      <w:lvlText w:val="o"/>
      <w:lvlJc w:val="left"/>
      <w:pPr>
        <w:ind w:left="780" w:hanging="360"/>
      </w:pPr>
      <w:rPr>
        <w:rFonts w:ascii="Courier New" w:hAnsi="Courier New" w:cs="Courier New" w:hint="default"/>
      </w:rPr>
    </w:lvl>
    <w:lvl w:ilvl="2" w:tplc="0C090005" w:tentative="1">
      <w:start w:val="1"/>
      <w:numFmt w:val="bullet"/>
      <w:lvlText w:val=""/>
      <w:lvlJc w:val="left"/>
      <w:pPr>
        <w:ind w:left="1500" w:hanging="360"/>
      </w:pPr>
      <w:rPr>
        <w:rFonts w:ascii="Wingdings" w:hAnsi="Wingdings" w:hint="default"/>
      </w:rPr>
    </w:lvl>
    <w:lvl w:ilvl="3" w:tplc="0C090001" w:tentative="1">
      <w:start w:val="1"/>
      <w:numFmt w:val="bullet"/>
      <w:lvlText w:val=""/>
      <w:lvlJc w:val="left"/>
      <w:pPr>
        <w:ind w:left="2220" w:hanging="360"/>
      </w:pPr>
      <w:rPr>
        <w:rFonts w:ascii="Symbol" w:hAnsi="Symbol" w:hint="default"/>
      </w:rPr>
    </w:lvl>
    <w:lvl w:ilvl="4" w:tplc="0C090003" w:tentative="1">
      <w:start w:val="1"/>
      <w:numFmt w:val="bullet"/>
      <w:lvlText w:val="o"/>
      <w:lvlJc w:val="left"/>
      <w:pPr>
        <w:ind w:left="2940" w:hanging="360"/>
      </w:pPr>
      <w:rPr>
        <w:rFonts w:ascii="Courier New" w:hAnsi="Courier New" w:cs="Courier New" w:hint="default"/>
      </w:rPr>
    </w:lvl>
    <w:lvl w:ilvl="5" w:tplc="0C090005" w:tentative="1">
      <w:start w:val="1"/>
      <w:numFmt w:val="bullet"/>
      <w:lvlText w:val=""/>
      <w:lvlJc w:val="left"/>
      <w:pPr>
        <w:ind w:left="3660" w:hanging="360"/>
      </w:pPr>
      <w:rPr>
        <w:rFonts w:ascii="Wingdings" w:hAnsi="Wingdings" w:hint="default"/>
      </w:rPr>
    </w:lvl>
    <w:lvl w:ilvl="6" w:tplc="0C090001" w:tentative="1">
      <w:start w:val="1"/>
      <w:numFmt w:val="bullet"/>
      <w:lvlText w:val=""/>
      <w:lvlJc w:val="left"/>
      <w:pPr>
        <w:ind w:left="4380" w:hanging="360"/>
      </w:pPr>
      <w:rPr>
        <w:rFonts w:ascii="Symbol" w:hAnsi="Symbol" w:hint="default"/>
      </w:rPr>
    </w:lvl>
    <w:lvl w:ilvl="7" w:tplc="0C090003" w:tentative="1">
      <w:start w:val="1"/>
      <w:numFmt w:val="bullet"/>
      <w:lvlText w:val="o"/>
      <w:lvlJc w:val="left"/>
      <w:pPr>
        <w:ind w:left="5100" w:hanging="360"/>
      </w:pPr>
      <w:rPr>
        <w:rFonts w:ascii="Courier New" w:hAnsi="Courier New" w:cs="Courier New" w:hint="default"/>
      </w:rPr>
    </w:lvl>
    <w:lvl w:ilvl="8" w:tplc="0C090005" w:tentative="1">
      <w:start w:val="1"/>
      <w:numFmt w:val="bullet"/>
      <w:lvlText w:val=""/>
      <w:lvlJc w:val="left"/>
      <w:pPr>
        <w:ind w:left="5820" w:hanging="360"/>
      </w:pPr>
      <w:rPr>
        <w:rFonts w:ascii="Wingdings" w:hAnsi="Wingdings" w:hint="default"/>
      </w:rPr>
    </w:lvl>
  </w:abstractNum>
  <w:abstractNum w:abstractNumId="5">
    <w:nsid w:val="19952510"/>
    <w:multiLevelType w:val="hybridMultilevel"/>
    <w:tmpl w:val="91C4B36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nsid w:val="31E559D4"/>
    <w:multiLevelType w:val="hybridMultilevel"/>
    <w:tmpl w:val="0BBA4CB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7">
    <w:nsid w:val="55810246"/>
    <w:multiLevelType w:val="hybridMultilevel"/>
    <w:tmpl w:val="F102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5A363B"/>
    <w:multiLevelType w:val="hybridMultilevel"/>
    <w:tmpl w:val="4C42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9079B3"/>
    <w:multiLevelType w:val="hybridMultilevel"/>
    <w:tmpl w:val="180A75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F81196"/>
    <w:multiLevelType w:val="hybridMultilevel"/>
    <w:tmpl w:val="018E1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A258D7"/>
    <w:multiLevelType w:val="hybridMultilevel"/>
    <w:tmpl w:val="99E0D1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7"/>
  </w:num>
  <w:num w:numId="7">
    <w:abstractNumId w:val="9"/>
  </w:num>
  <w:num w:numId="8">
    <w:abstractNumId w:val="11"/>
  </w:num>
  <w:num w:numId="9">
    <w:abstractNumId w:val="8"/>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AU" w:vendorID="6" w:dllVersion="2" w:checkStyle="1"/>
  <w:activeWritingStyle w:appName="MSWord" w:lang="it-IT" w:vendorID="3" w:dllVersion="517" w:checkStyle="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68">
      <o:colormru v:ext="edit" colors="#a3a3a3"/>
    </o:shapedefaults>
    <o:shapelayout v:ext="edit">
      <o:idmap v:ext="edit" data="2"/>
    </o:shapelayout>
  </w:hdrShapeDefaults>
  <w:footnotePr>
    <w:footnote w:id="-1"/>
    <w:footnote w:id="0"/>
  </w:footnotePr>
  <w:endnotePr>
    <w:endnote w:id="-1"/>
    <w:endnote w:id="0"/>
  </w:endnotePr>
  <w:compat/>
  <w:rsids>
    <w:rsidRoot w:val="00D72E74"/>
    <w:rsid w:val="00015533"/>
    <w:rsid w:val="00022820"/>
    <w:rsid w:val="000244B9"/>
    <w:rsid w:val="000414B6"/>
    <w:rsid w:val="00057AE5"/>
    <w:rsid w:val="000719BE"/>
    <w:rsid w:val="00092E31"/>
    <w:rsid w:val="000942BE"/>
    <w:rsid w:val="000A4E3A"/>
    <w:rsid w:val="000C05C1"/>
    <w:rsid w:val="00100A85"/>
    <w:rsid w:val="0010519C"/>
    <w:rsid w:val="00136F96"/>
    <w:rsid w:val="00137704"/>
    <w:rsid w:val="00152482"/>
    <w:rsid w:val="00176A43"/>
    <w:rsid w:val="00192894"/>
    <w:rsid w:val="001A2A66"/>
    <w:rsid w:val="001B0C3B"/>
    <w:rsid w:val="001B1BC5"/>
    <w:rsid w:val="001D63EF"/>
    <w:rsid w:val="001E37FD"/>
    <w:rsid w:val="001F4323"/>
    <w:rsid w:val="001F495D"/>
    <w:rsid w:val="00212F8A"/>
    <w:rsid w:val="00216CB2"/>
    <w:rsid w:val="002B333E"/>
    <w:rsid w:val="002C0D1D"/>
    <w:rsid w:val="002D1F59"/>
    <w:rsid w:val="002E4E51"/>
    <w:rsid w:val="0030523C"/>
    <w:rsid w:val="00346E37"/>
    <w:rsid w:val="003549ED"/>
    <w:rsid w:val="003625DE"/>
    <w:rsid w:val="0038211F"/>
    <w:rsid w:val="00382820"/>
    <w:rsid w:val="003B2317"/>
    <w:rsid w:val="003B742F"/>
    <w:rsid w:val="003D5CBA"/>
    <w:rsid w:val="003F3C82"/>
    <w:rsid w:val="00407CAF"/>
    <w:rsid w:val="0048183B"/>
    <w:rsid w:val="004826AD"/>
    <w:rsid w:val="00490D31"/>
    <w:rsid w:val="00497B42"/>
    <w:rsid w:val="004C02E2"/>
    <w:rsid w:val="004C2E50"/>
    <w:rsid w:val="004D1660"/>
    <w:rsid w:val="00521390"/>
    <w:rsid w:val="00533344"/>
    <w:rsid w:val="00541312"/>
    <w:rsid w:val="005766CB"/>
    <w:rsid w:val="00594678"/>
    <w:rsid w:val="005A34E5"/>
    <w:rsid w:val="005B07F5"/>
    <w:rsid w:val="005D2944"/>
    <w:rsid w:val="005D7D2D"/>
    <w:rsid w:val="006178F0"/>
    <w:rsid w:val="00654D27"/>
    <w:rsid w:val="00655148"/>
    <w:rsid w:val="006556E6"/>
    <w:rsid w:val="0065738E"/>
    <w:rsid w:val="00662259"/>
    <w:rsid w:val="00664CCF"/>
    <w:rsid w:val="006710CC"/>
    <w:rsid w:val="006A6CB4"/>
    <w:rsid w:val="006C5DD9"/>
    <w:rsid w:val="006C70A4"/>
    <w:rsid w:val="006D163D"/>
    <w:rsid w:val="006E3728"/>
    <w:rsid w:val="00705FBA"/>
    <w:rsid w:val="00711996"/>
    <w:rsid w:val="00722133"/>
    <w:rsid w:val="00726002"/>
    <w:rsid w:val="00730133"/>
    <w:rsid w:val="007307CD"/>
    <w:rsid w:val="00734212"/>
    <w:rsid w:val="007538DD"/>
    <w:rsid w:val="0076154B"/>
    <w:rsid w:val="00765056"/>
    <w:rsid w:val="007838C5"/>
    <w:rsid w:val="00793089"/>
    <w:rsid w:val="007968C5"/>
    <w:rsid w:val="007B1F95"/>
    <w:rsid w:val="007B2A0A"/>
    <w:rsid w:val="007B5864"/>
    <w:rsid w:val="007E0EC0"/>
    <w:rsid w:val="007F6638"/>
    <w:rsid w:val="008049E9"/>
    <w:rsid w:val="00806E67"/>
    <w:rsid w:val="008273C2"/>
    <w:rsid w:val="0083135F"/>
    <w:rsid w:val="00831B6B"/>
    <w:rsid w:val="00833AD9"/>
    <w:rsid w:val="008428FD"/>
    <w:rsid w:val="00854974"/>
    <w:rsid w:val="008919A1"/>
    <w:rsid w:val="00895025"/>
    <w:rsid w:val="008A2FD5"/>
    <w:rsid w:val="008C59C8"/>
    <w:rsid w:val="008D43F8"/>
    <w:rsid w:val="008D49F7"/>
    <w:rsid w:val="008D7074"/>
    <w:rsid w:val="008E2B57"/>
    <w:rsid w:val="008F308E"/>
    <w:rsid w:val="00912BFE"/>
    <w:rsid w:val="009138CD"/>
    <w:rsid w:val="00932795"/>
    <w:rsid w:val="009415DF"/>
    <w:rsid w:val="00965272"/>
    <w:rsid w:val="0099371A"/>
    <w:rsid w:val="00995368"/>
    <w:rsid w:val="009A239C"/>
    <w:rsid w:val="009A4458"/>
    <w:rsid w:val="009C5DB0"/>
    <w:rsid w:val="00A00010"/>
    <w:rsid w:val="00A020B4"/>
    <w:rsid w:val="00A0354B"/>
    <w:rsid w:val="00A2055E"/>
    <w:rsid w:val="00A41DDD"/>
    <w:rsid w:val="00A557E5"/>
    <w:rsid w:val="00A60C9D"/>
    <w:rsid w:val="00A81C82"/>
    <w:rsid w:val="00A86AE1"/>
    <w:rsid w:val="00AB0397"/>
    <w:rsid w:val="00AB7B02"/>
    <w:rsid w:val="00AD0DF9"/>
    <w:rsid w:val="00AD0EB0"/>
    <w:rsid w:val="00B010D3"/>
    <w:rsid w:val="00B16866"/>
    <w:rsid w:val="00B23134"/>
    <w:rsid w:val="00B66913"/>
    <w:rsid w:val="00BA44CE"/>
    <w:rsid w:val="00BA5365"/>
    <w:rsid w:val="00BB1B3B"/>
    <w:rsid w:val="00BB2CFB"/>
    <w:rsid w:val="00BF672B"/>
    <w:rsid w:val="00C0008A"/>
    <w:rsid w:val="00C04F47"/>
    <w:rsid w:val="00C823EF"/>
    <w:rsid w:val="00C8286D"/>
    <w:rsid w:val="00C84AA2"/>
    <w:rsid w:val="00CC36E8"/>
    <w:rsid w:val="00CE73C5"/>
    <w:rsid w:val="00D04048"/>
    <w:rsid w:val="00D146BA"/>
    <w:rsid w:val="00D3460E"/>
    <w:rsid w:val="00D51BA4"/>
    <w:rsid w:val="00D669F0"/>
    <w:rsid w:val="00D72E74"/>
    <w:rsid w:val="00D80942"/>
    <w:rsid w:val="00D93D10"/>
    <w:rsid w:val="00DB2A82"/>
    <w:rsid w:val="00DD29ED"/>
    <w:rsid w:val="00DD6B52"/>
    <w:rsid w:val="00DE6EE8"/>
    <w:rsid w:val="00E01A6F"/>
    <w:rsid w:val="00E02018"/>
    <w:rsid w:val="00E037A9"/>
    <w:rsid w:val="00E266B3"/>
    <w:rsid w:val="00E53F3E"/>
    <w:rsid w:val="00E56324"/>
    <w:rsid w:val="00E56EEA"/>
    <w:rsid w:val="00E830E5"/>
    <w:rsid w:val="00E97181"/>
    <w:rsid w:val="00EA0902"/>
    <w:rsid w:val="00EB7AED"/>
    <w:rsid w:val="00ED03EC"/>
    <w:rsid w:val="00ED05EE"/>
    <w:rsid w:val="00EF25FE"/>
    <w:rsid w:val="00F626AE"/>
    <w:rsid w:val="00F72A3D"/>
    <w:rsid w:val="00F76E45"/>
    <w:rsid w:val="00FD06A9"/>
    <w:rsid w:val="00FD5612"/>
    <w:rsid w:val="00FF1B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ru v:ext="edit" colors="#a3a3a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CB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833AD9"/>
    <w:pPr>
      <w:keepNext/>
      <w:spacing w:before="240" w:after="60"/>
      <w:outlineLvl w:val="0"/>
    </w:pPr>
    <w:rPr>
      <w:rFonts w:ascii="Calibri" w:hAnsi="Calibri" w:cs="Arial"/>
      <w:b/>
      <w:bCs/>
      <w:kern w:val="32"/>
      <w:sz w:val="32"/>
      <w:szCs w:val="32"/>
    </w:rPr>
  </w:style>
  <w:style w:type="paragraph" w:styleId="Heading2">
    <w:name w:val="heading 2"/>
    <w:basedOn w:val="Normal"/>
    <w:next w:val="Normal"/>
    <w:qFormat/>
    <w:rsid w:val="00833AD9"/>
    <w:pPr>
      <w:keepNext/>
      <w:outlineLvl w:val="1"/>
    </w:pPr>
    <w:rPr>
      <w:rFonts w:ascii="Calibri" w:eastAsia="Times New Roman" w:hAnsi="Calibri"/>
      <w:b/>
      <w:sz w:val="28"/>
      <w:lang w:val="en-US"/>
    </w:rPr>
  </w:style>
  <w:style w:type="paragraph" w:styleId="Heading3">
    <w:name w:val="heading 3"/>
    <w:basedOn w:val="Normal"/>
    <w:next w:val="Normal"/>
    <w:qFormat/>
    <w:rsid w:val="00833AD9"/>
    <w:pPr>
      <w:keepNext/>
      <w:spacing w:before="240" w:after="60"/>
      <w:outlineLvl w:val="2"/>
    </w:pPr>
    <w:rPr>
      <w:rFonts w:ascii="Calibri" w:hAnsi="Calibri"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rFonts w:ascii="Calibri" w:hAnsi="Calibri"/>
      <w:b/>
      <w:sz w:val="18"/>
    </w:rPr>
  </w:style>
  <w:style w:type="paragraph" w:styleId="Footer">
    <w:name w:val="footer"/>
    <w:basedOn w:val="Normal"/>
    <w:link w:val="FooterChar"/>
    <w:rsid w:val="00833AD9"/>
    <w:pPr>
      <w:tabs>
        <w:tab w:val="center" w:pos="4320"/>
        <w:tab w:val="right" w:pos="8640"/>
      </w:tabs>
    </w:pPr>
    <w:rPr>
      <w:rFonts w:ascii="Calibri" w:hAnsi="Calibri"/>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rFonts w:ascii="Calibri" w:eastAsia="Times New Roman" w:hAnsi="Calibri"/>
      <w:lang w:val="en-US"/>
    </w:rPr>
  </w:style>
  <w:style w:type="table" w:styleId="TableGrid">
    <w:name w:val="Table Grid"/>
    <w:basedOn w:val="TableNormal"/>
    <w:rsid w:val="00833A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character" w:customStyle="1" w:styleId="FooterChar">
    <w:name w:val="Footer Char"/>
    <w:basedOn w:val="DefaultParagraphFont"/>
    <w:link w:val="Footer"/>
    <w:rsid w:val="003D5CBA"/>
    <w:rPr>
      <w:rFonts w:ascii="Calibri" w:hAnsi="Calibri"/>
      <w:sz w:val="18"/>
      <w:lang w:eastAsia="en-US"/>
    </w:rPr>
  </w:style>
  <w:style w:type="paragraph" w:styleId="ListParagraph">
    <w:name w:val="List Paragraph"/>
    <w:basedOn w:val="Normal"/>
    <w:uiPriority w:val="34"/>
    <w:qFormat/>
    <w:rsid w:val="003D5CB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3D5CB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1687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20EBA?subject=Question%20re%20Proposed%20Nursing%20Agre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3385-E356-44D1-90C1-2E4DE4F6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5958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Chief Minister and Cabinet letterhead</vt:lpstr>
    </vt:vector>
  </TitlesOfParts>
  <Company>Chief Minister and Cabinet, ACT Government</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 and Cabinet letterhead</dc:title>
  <dc:creator>mark paxton</dc:creator>
  <cp:keywords>ACT Government, letterhead, black and white</cp:keywords>
  <cp:lastModifiedBy>Tony Delahunty</cp:lastModifiedBy>
  <cp:revision>2</cp:revision>
  <cp:lastPrinted>2011-11-01T00:53:00Z</cp:lastPrinted>
  <dcterms:created xsi:type="dcterms:W3CDTF">2014-03-25T01:29:00Z</dcterms:created>
  <dcterms:modified xsi:type="dcterms:W3CDTF">2014-03-25T01:29:00Z</dcterms:modified>
</cp:coreProperties>
</file>