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1CA29" w14:textId="77777777" w:rsidR="006376DC" w:rsidRPr="006376DC" w:rsidRDefault="006376DC" w:rsidP="006376DC">
      <w:pPr>
        <w:rPr>
          <w:rFonts w:cs="Arial"/>
          <w:b/>
          <w:color w:val="000000"/>
          <w:szCs w:val="36"/>
        </w:rPr>
      </w:pPr>
    </w:p>
    <w:p w14:paraId="22A1CA2A" w14:textId="77777777" w:rsidR="004E7140" w:rsidRPr="004E7140" w:rsidRDefault="004E7140" w:rsidP="004E7140">
      <w:pPr>
        <w:rPr>
          <w:rFonts w:cs="Arial"/>
          <w:b/>
          <w:color w:val="000000"/>
          <w:sz w:val="36"/>
          <w:szCs w:val="36"/>
        </w:rPr>
      </w:pPr>
      <w:r w:rsidRPr="004E7140">
        <w:rPr>
          <w:rFonts w:cs="Arial"/>
          <w:b/>
          <w:color w:val="000000"/>
          <w:sz w:val="36"/>
          <w:szCs w:val="36"/>
        </w:rPr>
        <w:t>Policy</w:t>
      </w:r>
    </w:p>
    <w:p w14:paraId="22A1CA2B" w14:textId="77777777" w:rsidR="00A86A9D" w:rsidRDefault="004E7140" w:rsidP="004E7140">
      <w:pPr>
        <w:rPr>
          <w:rFonts w:cs="Arial"/>
          <w:b/>
          <w:sz w:val="22"/>
          <w:szCs w:val="22"/>
        </w:rPr>
      </w:pPr>
      <w:r w:rsidRPr="004E7140">
        <w:rPr>
          <w:rFonts w:cs="Arial"/>
          <w:b/>
          <w:color w:val="000000"/>
          <w:sz w:val="36"/>
          <w:szCs w:val="36"/>
        </w:rPr>
        <w:t>Consumer, Carer and Community Representative Reimbursement</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2D" w14:textId="77777777" w:rsidTr="002F61F7">
        <w:trPr>
          <w:cantSplit/>
          <w:trHeight w:val="285"/>
        </w:trPr>
        <w:tc>
          <w:tcPr>
            <w:tcW w:w="9158" w:type="dxa"/>
            <w:shd w:val="clear" w:color="auto" w:fill="000000"/>
          </w:tcPr>
          <w:p w14:paraId="22A1CA2C"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22A1CA2E" w14:textId="77777777" w:rsidR="00A86A9D" w:rsidRDefault="00A86A9D" w:rsidP="00A86A9D">
      <w:pPr>
        <w:jc w:val="both"/>
        <w:rPr>
          <w:rFonts w:cs="Arial"/>
          <w:b/>
          <w:szCs w:val="24"/>
        </w:rPr>
      </w:pPr>
    </w:p>
    <w:p w14:paraId="22A1CA2F" w14:textId="77777777" w:rsidR="004E7140" w:rsidRPr="004E7140" w:rsidRDefault="004E7140" w:rsidP="004E7140">
      <w:pPr>
        <w:jc w:val="both"/>
        <w:rPr>
          <w:rFonts w:cs="Arial"/>
          <w:szCs w:val="24"/>
        </w:rPr>
      </w:pPr>
      <w:r w:rsidRPr="004E7140">
        <w:rPr>
          <w:rFonts w:cs="Arial"/>
          <w:szCs w:val="24"/>
        </w:rPr>
        <w:t xml:space="preserve">Consumer, </w:t>
      </w:r>
      <w:r w:rsidR="00810D42">
        <w:rPr>
          <w:rFonts w:cs="Arial"/>
          <w:szCs w:val="24"/>
        </w:rPr>
        <w:t>carer</w:t>
      </w:r>
      <w:r w:rsidRPr="004E7140">
        <w:rPr>
          <w:rFonts w:cs="Arial"/>
          <w:szCs w:val="24"/>
        </w:rPr>
        <w:t xml:space="preserve"> and </w:t>
      </w:r>
      <w:r w:rsidR="00810D42">
        <w:rPr>
          <w:rFonts w:cs="Arial"/>
          <w:szCs w:val="24"/>
        </w:rPr>
        <w:t>community</w:t>
      </w:r>
      <w:r w:rsidRPr="004E7140">
        <w:rPr>
          <w:rFonts w:cs="Arial"/>
          <w:szCs w:val="24"/>
        </w:rPr>
        <w:t xml:space="preserve"> </w:t>
      </w:r>
      <w:r w:rsidR="00810D42">
        <w:rPr>
          <w:rFonts w:cs="Arial"/>
          <w:szCs w:val="24"/>
        </w:rPr>
        <w:t>representatives</w:t>
      </w:r>
      <w:r w:rsidRPr="004E7140">
        <w:rPr>
          <w:rFonts w:cs="Arial"/>
          <w:szCs w:val="24"/>
        </w:rPr>
        <w:t xml:space="preserve"> provide an important balance to the views of health care professionals, service providers and industry, contributing to a health system that better reflects the needs of all stakeholders. </w:t>
      </w:r>
    </w:p>
    <w:p w14:paraId="22A1CA30" w14:textId="77777777" w:rsidR="004E7140" w:rsidRPr="004E7140" w:rsidRDefault="004E7140" w:rsidP="004E7140">
      <w:pPr>
        <w:jc w:val="both"/>
        <w:rPr>
          <w:rFonts w:cs="Arial"/>
          <w:szCs w:val="24"/>
        </w:rPr>
      </w:pPr>
    </w:p>
    <w:p w14:paraId="22A1CA31" w14:textId="77777777" w:rsidR="004E7140" w:rsidRPr="004E7140" w:rsidRDefault="003B25AE" w:rsidP="004E7140">
      <w:pPr>
        <w:jc w:val="both"/>
        <w:rPr>
          <w:rFonts w:cs="Arial"/>
          <w:szCs w:val="24"/>
        </w:rPr>
      </w:pPr>
      <w:r>
        <w:rPr>
          <w:rFonts w:cs="Arial"/>
          <w:szCs w:val="24"/>
        </w:rPr>
        <w:t>ACT</w:t>
      </w:r>
      <w:r w:rsidR="004E7140" w:rsidRPr="004E7140">
        <w:rPr>
          <w:rFonts w:cs="Arial"/>
          <w:szCs w:val="24"/>
        </w:rPr>
        <w:t xml:space="preserve"> Health values the contribution that </w:t>
      </w:r>
      <w:r w:rsidR="00810D42">
        <w:rPr>
          <w:rFonts w:cs="Arial"/>
          <w:szCs w:val="24"/>
        </w:rPr>
        <w:t>consumer</w:t>
      </w:r>
      <w:r w:rsidR="004E7140" w:rsidRPr="004E7140">
        <w:rPr>
          <w:rFonts w:cs="Arial"/>
          <w:szCs w:val="24"/>
        </w:rPr>
        <w:t xml:space="preserve">, </w:t>
      </w:r>
      <w:r w:rsidR="00810D42">
        <w:rPr>
          <w:rFonts w:cs="Arial"/>
          <w:szCs w:val="24"/>
        </w:rPr>
        <w:t>carer</w:t>
      </w:r>
      <w:r w:rsidR="004E7140" w:rsidRPr="004E7140">
        <w:rPr>
          <w:rFonts w:cs="Arial"/>
          <w:szCs w:val="24"/>
        </w:rPr>
        <w:t xml:space="preserve"> and </w:t>
      </w:r>
      <w:r w:rsidR="00810D42">
        <w:rPr>
          <w:rFonts w:cs="Arial"/>
          <w:szCs w:val="24"/>
        </w:rPr>
        <w:t>community</w:t>
      </w:r>
      <w:r w:rsidR="004E7140" w:rsidRPr="004E7140">
        <w:rPr>
          <w:rFonts w:cs="Arial"/>
          <w:szCs w:val="24"/>
        </w:rPr>
        <w:t xml:space="preserve"> </w:t>
      </w:r>
      <w:r w:rsidR="00810D42">
        <w:rPr>
          <w:rFonts w:cs="Arial"/>
          <w:szCs w:val="24"/>
        </w:rPr>
        <w:t>representatives</w:t>
      </w:r>
      <w:r w:rsidR="004E7140" w:rsidRPr="004E7140">
        <w:rPr>
          <w:rFonts w:cs="Arial"/>
          <w:szCs w:val="24"/>
        </w:rPr>
        <w:t xml:space="preserve"> make and is committed to adequately reimbursing </w:t>
      </w:r>
      <w:r w:rsidR="00810D42">
        <w:rPr>
          <w:rFonts w:cs="Arial"/>
          <w:szCs w:val="24"/>
        </w:rPr>
        <w:t>representatives</w:t>
      </w:r>
      <w:r w:rsidR="004E7140" w:rsidRPr="004E7140">
        <w:rPr>
          <w:rFonts w:cs="Arial"/>
          <w:szCs w:val="24"/>
        </w:rPr>
        <w:t>.</w:t>
      </w:r>
    </w:p>
    <w:p w14:paraId="22A1CA32" w14:textId="77777777" w:rsidR="004E7140" w:rsidRPr="004E7140" w:rsidRDefault="004E7140" w:rsidP="004E7140">
      <w:pPr>
        <w:jc w:val="both"/>
        <w:rPr>
          <w:rFonts w:cs="Arial"/>
          <w:szCs w:val="24"/>
        </w:rPr>
      </w:pPr>
    </w:p>
    <w:p w14:paraId="22A1CA33" w14:textId="77777777" w:rsidR="004E7140" w:rsidRPr="004E7140" w:rsidRDefault="006C5215" w:rsidP="004E7140">
      <w:pPr>
        <w:jc w:val="both"/>
        <w:rPr>
          <w:rFonts w:cs="Arial"/>
          <w:szCs w:val="24"/>
        </w:rPr>
      </w:pPr>
      <w:r>
        <w:rPr>
          <w:rFonts w:cs="Arial"/>
          <w:szCs w:val="24"/>
        </w:rPr>
        <w:t>Consumer</w:t>
      </w:r>
      <w:r w:rsidRPr="004E7140">
        <w:rPr>
          <w:rFonts w:cs="Arial"/>
          <w:szCs w:val="24"/>
        </w:rPr>
        <w:t xml:space="preserve">, </w:t>
      </w:r>
      <w:r>
        <w:rPr>
          <w:rFonts w:cs="Arial"/>
          <w:szCs w:val="24"/>
        </w:rPr>
        <w:t>carer</w:t>
      </w:r>
      <w:r w:rsidRPr="004E7140">
        <w:rPr>
          <w:rFonts w:cs="Arial"/>
          <w:szCs w:val="24"/>
        </w:rPr>
        <w:t xml:space="preserve"> and </w:t>
      </w:r>
      <w:r>
        <w:rPr>
          <w:rFonts w:cs="Arial"/>
          <w:szCs w:val="24"/>
        </w:rPr>
        <w:t>community</w:t>
      </w:r>
      <w:r w:rsidRPr="004E7140">
        <w:rPr>
          <w:rFonts w:cs="Arial"/>
          <w:szCs w:val="24"/>
        </w:rPr>
        <w:t xml:space="preserve"> </w:t>
      </w:r>
      <w:r>
        <w:rPr>
          <w:rFonts w:cs="Arial"/>
          <w:szCs w:val="24"/>
        </w:rPr>
        <w:t>representatives</w:t>
      </w:r>
      <w:r w:rsidRPr="004E7140">
        <w:rPr>
          <w:rFonts w:cs="Arial"/>
          <w:szCs w:val="24"/>
        </w:rPr>
        <w:t xml:space="preserve"> </w:t>
      </w:r>
      <w:r>
        <w:rPr>
          <w:rFonts w:cs="Arial"/>
          <w:szCs w:val="24"/>
        </w:rPr>
        <w:t>will be reimbursed to cover r</w:t>
      </w:r>
      <w:r w:rsidR="004E7140" w:rsidRPr="004E7140">
        <w:rPr>
          <w:rFonts w:cs="Arial"/>
          <w:szCs w:val="24"/>
        </w:rPr>
        <w:t xml:space="preserve">easonable costs associated with attendance at </w:t>
      </w:r>
      <w:r w:rsidR="003B25AE">
        <w:rPr>
          <w:rFonts w:cs="Arial"/>
          <w:szCs w:val="24"/>
        </w:rPr>
        <w:t xml:space="preserve">ACT </w:t>
      </w:r>
      <w:r w:rsidR="004E7140" w:rsidRPr="004E7140">
        <w:rPr>
          <w:rFonts w:cs="Arial"/>
          <w:szCs w:val="24"/>
        </w:rPr>
        <w:t>Health meetings</w:t>
      </w:r>
      <w:r>
        <w:rPr>
          <w:rFonts w:cs="Arial"/>
          <w:szCs w:val="24"/>
        </w:rPr>
        <w:t>.</w:t>
      </w:r>
    </w:p>
    <w:p w14:paraId="22A1CA34" w14:textId="77777777" w:rsidR="004E7140" w:rsidRPr="004E7140" w:rsidRDefault="004E7140" w:rsidP="004E7140">
      <w:pPr>
        <w:jc w:val="both"/>
        <w:rPr>
          <w:rFonts w:cs="Arial"/>
          <w:szCs w:val="24"/>
        </w:rPr>
      </w:pPr>
    </w:p>
    <w:p w14:paraId="22A1CA35" w14:textId="77777777" w:rsidR="004E7140" w:rsidRPr="004E7140" w:rsidRDefault="004E7140" w:rsidP="004E7140">
      <w:pPr>
        <w:jc w:val="both"/>
        <w:rPr>
          <w:rFonts w:cs="Arial"/>
          <w:szCs w:val="24"/>
        </w:rPr>
      </w:pPr>
      <w:r w:rsidRPr="004E7140">
        <w:rPr>
          <w:rFonts w:cs="Arial"/>
          <w:szCs w:val="24"/>
        </w:rPr>
        <w:t xml:space="preserve">The reasonable costs </w:t>
      </w:r>
      <w:r w:rsidR="006C5215">
        <w:rPr>
          <w:rFonts w:cs="Arial"/>
          <w:szCs w:val="24"/>
        </w:rPr>
        <w:t xml:space="preserve">for </w:t>
      </w:r>
      <w:r w:rsidRPr="004E7140">
        <w:rPr>
          <w:rFonts w:cs="Arial"/>
          <w:szCs w:val="24"/>
        </w:rPr>
        <w:t xml:space="preserve">reimbursement </w:t>
      </w:r>
      <w:r w:rsidR="006C5215">
        <w:rPr>
          <w:rFonts w:cs="Arial"/>
          <w:szCs w:val="24"/>
        </w:rPr>
        <w:t>include</w:t>
      </w:r>
      <w:r w:rsidRPr="004E7140">
        <w:rPr>
          <w:rFonts w:cs="Arial"/>
          <w:szCs w:val="24"/>
        </w:rPr>
        <w:t>:</w:t>
      </w:r>
    </w:p>
    <w:p w14:paraId="22A1CA36" w14:textId="77777777" w:rsidR="004E7140" w:rsidRPr="004E7140" w:rsidRDefault="004E7140" w:rsidP="004E7140">
      <w:pPr>
        <w:jc w:val="both"/>
        <w:rPr>
          <w:rFonts w:cs="Arial"/>
          <w:szCs w:val="24"/>
        </w:rPr>
      </w:pPr>
      <w:r w:rsidRPr="004E7140">
        <w:rPr>
          <w:rFonts w:cs="Arial"/>
          <w:szCs w:val="24"/>
        </w:rPr>
        <w:t>•</w:t>
      </w:r>
      <w:r w:rsidRPr="004E7140">
        <w:rPr>
          <w:rFonts w:cs="Arial"/>
          <w:szCs w:val="24"/>
        </w:rPr>
        <w:tab/>
        <w:t>Travel costs including parking fees and public transport.</w:t>
      </w:r>
    </w:p>
    <w:p w14:paraId="22A1CA37" w14:textId="77777777" w:rsidR="004E7140" w:rsidRPr="004E7140" w:rsidRDefault="004E7140" w:rsidP="004E7140">
      <w:pPr>
        <w:jc w:val="both"/>
        <w:rPr>
          <w:rFonts w:cs="Arial"/>
          <w:szCs w:val="24"/>
        </w:rPr>
      </w:pPr>
      <w:r w:rsidRPr="004E7140">
        <w:rPr>
          <w:rFonts w:cs="Arial"/>
          <w:szCs w:val="24"/>
        </w:rPr>
        <w:t>•</w:t>
      </w:r>
      <w:r w:rsidRPr="004E7140">
        <w:rPr>
          <w:rFonts w:cs="Arial"/>
          <w:szCs w:val="24"/>
        </w:rPr>
        <w:tab/>
        <w:t>Child care.</w:t>
      </w:r>
    </w:p>
    <w:p w14:paraId="22A1CA38" w14:textId="77777777" w:rsidR="004E7140" w:rsidRPr="004E7140" w:rsidRDefault="004E7140" w:rsidP="004E7140">
      <w:pPr>
        <w:jc w:val="both"/>
        <w:rPr>
          <w:rFonts w:cs="Arial"/>
          <w:szCs w:val="24"/>
        </w:rPr>
      </w:pPr>
      <w:r w:rsidRPr="004E7140">
        <w:rPr>
          <w:rFonts w:cs="Arial"/>
          <w:szCs w:val="24"/>
        </w:rPr>
        <w:t>•</w:t>
      </w:r>
      <w:r w:rsidRPr="004E7140">
        <w:rPr>
          <w:rFonts w:cs="Arial"/>
          <w:szCs w:val="24"/>
        </w:rPr>
        <w:tab/>
        <w:t>Paper, toner/ink and photocopying.</w:t>
      </w:r>
    </w:p>
    <w:p w14:paraId="22A1CA39" w14:textId="77777777" w:rsidR="00A86A9D" w:rsidRPr="004E7140" w:rsidRDefault="004E7140" w:rsidP="004E7140">
      <w:pPr>
        <w:jc w:val="both"/>
        <w:rPr>
          <w:rFonts w:cs="Arial"/>
          <w:szCs w:val="24"/>
        </w:rPr>
      </w:pPr>
      <w:r w:rsidRPr="004E7140">
        <w:rPr>
          <w:rFonts w:cs="Arial"/>
          <w:szCs w:val="24"/>
        </w:rPr>
        <w:t>•</w:t>
      </w:r>
      <w:r w:rsidRPr="004E7140">
        <w:rPr>
          <w:rFonts w:cs="Arial"/>
          <w:szCs w:val="24"/>
        </w:rPr>
        <w:tab/>
        <w:t>Phone calls, Internet Service Provider (ISP) charges.</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3B" w14:textId="77777777" w:rsidTr="002F61F7">
        <w:trPr>
          <w:cantSplit/>
          <w:trHeight w:val="285"/>
        </w:trPr>
        <w:tc>
          <w:tcPr>
            <w:tcW w:w="9158" w:type="dxa"/>
            <w:shd w:val="clear" w:color="auto" w:fill="000000"/>
          </w:tcPr>
          <w:p w14:paraId="22A1CA3A" w14:textId="77777777" w:rsidR="00A86A9D" w:rsidRPr="007A238D" w:rsidRDefault="00A86A9D" w:rsidP="007A238D">
            <w:pPr>
              <w:pStyle w:val="Heading1"/>
              <w:rPr>
                <w:szCs w:val="24"/>
              </w:rPr>
            </w:pPr>
            <w:r w:rsidRPr="007A238D">
              <w:rPr>
                <w:szCs w:val="24"/>
              </w:rPr>
              <w:t>Purpose</w:t>
            </w:r>
          </w:p>
        </w:tc>
      </w:tr>
    </w:tbl>
    <w:p w14:paraId="22A1CA3C" w14:textId="77777777" w:rsidR="00A86A9D" w:rsidRDefault="00A86A9D" w:rsidP="00A86A9D">
      <w:pPr>
        <w:jc w:val="both"/>
        <w:rPr>
          <w:rFonts w:cs="Arial"/>
          <w:b/>
          <w:szCs w:val="24"/>
        </w:rPr>
      </w:pPr>
    </w:p>
    <w:p w14:paraId="22A1CA3D" w14:textId="77777777" w:rsidR="004E7140" w:rsidRPr="004E7140" w:rsidRDefault="004E7140" w:rsidP="004E7140">
      <w:pPr>
        <w:jc w:val="both"/>
        <w:rPr>
          <w:rFonts w:cs="Arial"/>
          <w:szCs w:val="24"/>
        </w:rPr>
      </w:pPr>
      <w:r w:rsidRPr="004E7140">
        <w:rPr>
          <w:rFonts w:cs="Arial"/>
          <w:szCs w:val="24"/>
        </w:rPr>
        <w:t xml:space="preserve">Consumer, </w:t>
      </w:r>
      <w:r w:rsidR="00810D42">
        <w:rPr>
          <w:rFonts w:cs="Arial"/>
          <w:szCs w:val="24"/>
        </w:rPr>
        <w:t>carer</w:t>
      </w:r>
      <w:r w:rsidRPr="004E7140">
        <w:rPr>
          <w:rFonts w:cs="Arial"/>
          <w:szCs w:val="24"/>
        </w:rPr>
        <w:t xml:space="preserve"> and </w:t>
      </w:r>
      <w:r w:rsidR="00810D42">
        <w:rPr>
          <w:rFonts w:cs="Arial"/>
          <w:szCs w:val="24"/>
        </w:rPr>
        <w:t>community</w:t>
      </w:r>
      <w:r w:rsidRPr="004E7140">
        <w:rPr>
          <w:rFonts w:cs="Arial"/>
          <w:szCs w:val="24"/>
        </w:rPr>
        <w:t xml:space="preserve"> </w:t>
      </w:r>
      <w:r w:rsidR="00810D42">
        <w:rPr>
          <w:rFonts w:cs="Arial"/>
          <w:szCs w:val="24"/>
        </w:rPr>
        <w:t>representatives</w:t>
      </w:r>
      <w:r w:rsidRPr="004E7140">
        <w:rPr>
          <w:rFonts w:cs="Arial"/>
          <w:szCs w:val="24"/>
        </w:rPr>
        <w:t xml:space="preserve"> are vital in program, service and policy development and delivery. They provide a consumer’s perspective using the consumer experience and expertise to guide decision makers. Consumer, </w:t>
      </w:r>
      <w:r w:rsidR="00810D42">
        <w:rPr>
          <w:rFonts w:cs="Arial"/>
          <w:szCs w:val="24"/>
        </w:rPr>
        <w:t>carer</w:t>
      </w:r>
      <w:r w:rsidRPr="004E7140">
        <w:rPr>
          <w:rFonts w:cs="Arial"/>
          <w:szCs w:val="24"/>
        </w:rPr>
        <w:t xml:space="preserve"> and </w:t>
      </w:r>
      <w:r w:rsidR="00810D42">
        <w:rPr>
          <w:rFonts w:cs="Arial"/>
          <w:szCs w:val="24"/>
        </w:rPr>
        <w:t>community</w:t>
      </w:r>
      <w:r w:rsidRPr="004E7140">
        <w:rPr>
          <w:rFonts w:cs="Arial"/>
          <w:szCs w:val="24"/>
        </w:rPr>
        <w:t xml:space="preserve"> </w:t>
      </w:r>
      <w:r w:rsidR="00810D42">
        <w:rPr>
          <w:rFonts w:cs="Arial"/>
          <w:szCs w:val="24"/>
        </w:rPr>
        <w:t>representatives</w:t>
      </w:r>
      <w:r w:rsidRPr="004E7140">
        <w:rPr>
          <w:rFonts w:cs="Arial"/>
          <w:szCs w:val="24"/>
        </w:rPr>
        <w:t xml:space="preserve"> are trained in advocacy and representation, and are appointed by the </w:t>
      </w:r>
      <w:r w:rsidR="00761392">
        <w:rPr>
          <w:rFonts w:cs="Arial"/>
          <w:szCs w:val="24"/>
        </w:rPr>
        <w:t>representative</w:t>
      </w:r>
      <w:r w:rsidRPr="004E7140">
        <w:rPr>
          <w:rFonts w:cs="Arial"/>
          <w:szCs w:val="24"/>
        </w:rPr>
        <w:t>’s organisation based on their interest, experience and availability.</w:t>
      </w:r>
      <w:r w:rsidR="006C5215">
        <w:rPr>
          <w:rFonts w:cs="Arial"/>
          <w:szCs w:val="24"/>
        </w:rPr>
        <w:t xml:space="preserve"> </w:t>
      </w:r>
      <w:r w:rsidR="006C5215">
        <w:rPr>
          <w:rFonts w:cs="Arial"/>
          <w:color w:val="000000"/>
          <w:szCs w:val="24"/>
        </w:rPr>
        <w:t>Additionally independent community members provide a consumer or carer perspective based on their area of interest.</w:t>
      </w:r>
    </w:p>
    <w:p w14:paraId="22A1CA3E" w14:textId="77777777" w:rsidR="004E7140" w:rsidRPr="004E7140" w:rsidRDefault="004E7140" w:rsidP="004E7140">
      <w:pPr>
        <w:jc w:val="both"/>
        <w:rPr>
          <w:rFonts w:cs="Arial"/>
          <w:szCs w:val="24"/>
        </w:rPr>
      </w:pPr>
    </w:p>
    <w:p w14:paraId="22A1CA3F" w14:textId="77777777" w:rsidR="00A86A9D" w:rsidRPr="004E7140" w:rsidRDefault="004E7140" w:rsidP="004E7140">
      <w:pPr>
        <w:jc w:val="both"/>
        <w:rPr>
          <w:rFonts w:cs="Arial"/>
          <w:szCs w:val="24"/>
        </w:rPr>
      </w:pPr>
      <w:r w:rsidRPr="004E7140">
        <w:rPr>
          <w:rFonts w:cs="Arial"/>
          <w:szCs w:val="24"/>
        </w:rPr>
        <w:t xml:space="preserve">This policy defines the processes by which </w:t>
      </w:r>
      <w:r w:rsidR="003B25AE">
        <w:rPr>
          <w:rFonts w:cs="Arial"/>
          <w:szCs w:val="24"/>
        </w:rPr>
        <w:t>ACT Health</w:t>
      </w:r>
      <w:r w:rsidRPr="004E7140">
        <w:rPr>
          <w:rFonts w:cs="Arial"/>
          <w:szCs w:val="24"/>
        </w:rPr>
        <w:t xml:space="preserve"> will manage reimbursement to </w:t>
      </w:r>
      <w:r w:rsidR="00810D42">
        <w:rPr>
          <w:rFonts w:cs="Arial"/>
          <w:szCs w:val="24"/>
        </w:rPr>
        <w:t>consumer</w:t>
      </w:r>
      <w:r w:rsidRPr="004E7140">
        <w:rPr>
          <w:rFonts w:cs="Arial"/>
          <w:szCs w:val="24"/>
        </w:rPr>
        <w:t xml:space="preserve">, </w:t>
      </w:r>
      <w:r w:rsidR="00810D42">
        <w:rPr>
          <w:rFonts w:cs="Arial"/>
          <w:szCs w:val="24"/>
        </w:rPr>
        <w:t>carer</w:t>
      </w:r>
      <w:r w:rsidRPr="004E7140">
        <w:rPr>
          <w:rFonts w:cs="Arial"/>
          <w:szCs w:val="24"/>
        </w:rPr>
        <w:t xml:space="preserve"> and </w:t>
      </w:r>
      <w:r w:rsidR="00810D42">
        <w:rPr>
          <w:rFonts w:cs="Arial"/>
          <w:szCs w:val="24"/>
        </w:rPr>
        <w:t>community</w:t>
      </w:r>
      <w:r w:rsidRPr="004E7140">
        <w:rPr>
          <w:rFonts w:cs="Arial"/>
          <w:szCs w:val="24"/>
        </w:rPr>
        <w:t xml:space="preserve"> </w:t>
      </w:r>
      <w:r w:rsidR="00810D42">
        <w:rPr>
          <w:rFonts w:cs="Arial"/>
          <w:szCs w:val="24"/>
        </w:rPr>
        <w:t>representatives</w:t>
      </w:r>
      <w:r w:rsidRPr="004E7140">
        <w:rPr>
          <w:rFonts w:cs="Arial"/>
          <w:szCs w:val="24"/>
        </w:rPr>
        <w:t xml:space="preserve"> engaged to participate in </w:t>
      </w:r>
      <w:r w:rsidR="003B25AE">
        <w:rPr>
          <w:rFonts w:cs="Arial"/>
          <w:szCs w:val="24"/>
        </w:rPr>
        <w:t xml:space="preserve">ACT </w:t>
      </w:r>
      <w:r w:rsidRPr="004E7140">
        <w:rPr>
          <w:rFonts w:cs="Arial"/>
          <w:szCs w:val="24"/>
        </w:rPr>
        <w:t>Health related meetings or other formal activities.</w:t>
      </w: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41" w14:textId="77777777" w:rsidTr="002F61F7">
        <w:trPr>
          <w:cantSplit/>
          <w:trHeight w:val="285"/>
        </w:trPr>
        <w:tc>
          <w:tcPr>
            <w:tcW w:w="9158" w:type="dxa"/>
            <w:shd w:val="clear" w:color="auto" w:fill="000000"/>
          </w:tcPr>
          <w:p w14:paraId="22A1CA40" w14:textId="77777777" w:rsidR="00A86A9D" w:rsidRPr="001502DF" w:rsidRDefault="00A86A9D" w:rsidP="007A238D">
            <w:pPr>
              <w:pStyle w:val="Heading1"/>
              <w:rPr>
                <w:b w:val="0"/>
                <w:szCs w:val="24"/>
              </w:rPr>
            </w:pPr>
            <w:r w:rsidRPr="001502DF">
              <w:rPr>
                <w:szCs w:val="24"/>
              </w:rPr>
              <w:t>Scope</w:t>
            </w:r>
          </w:p>
        </w:tc>
      </w:tr>
    </w:tbl>
    <w:p w14:paraId="22A1CA42" w14:textId="77777777" w:rsidR="00A86A9D" w:rsidRDefault="00A86A9D" w:rsidP="00A86A9D">
      <w:pPr>
        <w:jc w:val="both"/>
        <w:rPr>
          <w:rFonts w:cs="Arial"/>
          <w:b/>
          <w:szCs w:val="24"/>
        </w:rPr>
      </w:pPr>
    </w:p>
    <w:p w14:paraId="22A1CA43" w14:textId="77777777" w:rsidR="004E7140" w:rsidRDefault="004E7140" w:rsidP="004E7140">
      <w:pPr>
        <w:ind w:right="-144"/>
        <w:rPr>
          <w:rFonts w:cs="Arial"/>
          <w:color w:val="000000"/>
          <w:szCs w:val="24"/>
        </w:rPr>
      </w:pPr>
      <w:r>
        <w:rPr>
          <w:rFonts w:cs="Arial"/>
          <w:color w:val="000000"/>
          <w:szCs w:val="24"/>
        </w:rPr>
        <w:t xml:space="preserve">This policy applies to all </w:t>
      </w:r>
      <w:r w:rsidR="003B25AE">
        <w:rPr>
          <w:rFonts w:cs="Arial"/>
          <w:color w:val="000000"/>
          <w:szCs w:val="24"/>
        </w:rPr>
        <w:t xml:space="preserve">ACT </w:t>
      </w:r>
      <w:r>
        <w:rPr>
          <w:rFonts w:cs="Arial"/>
          <w:color w:val="000000"/>
          <w:szCs w:val="24"/>
        </w:rPr>
        <w:t xml:space="preserve">Health staff who are involved in the management of meetings and activities which </w:t>
      </w:r>
      <w:r w:rsidR="006C5215">
        <w:rPr>
          <w:rFonts w:cs="Arial"/>
          <w:color w:val="000000"/>
          <w:szCs w:val="24"/>
        </w:rPr>
        <w:t>engage</w:t>
      </w:r>
      <w:r>
        <w:rPr>
          <w:rFonts w:cs="Arial"/>
          <w:color w:val="000000"/>
          <w:szCs w:val="24"/>
        </w:rPr>
        <w:t xml:space="preserve"> the services of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810D42">
        <w:rPr>
          <w:rFonts w:cs="Arial"/>
          <w:color w:val="000000"/>
          <w:szCs w:val="24"/>
        </w:rPr>
        <w:t>representatives</w:t>
      </w:r>
      <w:r>
        <w:rPr>
          <w:rFonts w:cs="Arial"/>
          <w:color w:val="000000"/>
          <w:szCs w:val="24"/>
        </w:rPr>
        <w:t>.</w:t>
      </w:r>
    </w:p>
    <w:p w14:paraId="22A1CA44" w14:textId="77777777" w:rsidR="004E7140" w:rsidRDefault="004E7140" w:rsidP="004E7140">
      <w:pPr>
        <w:ind w:right="-144"/>
        <w:rPr>
          <w:rFonts w:cs="Arial"/>
          <w:color w:val="000000"/>
          <w:szCs w:val="24"/>
        </w:rPr>
      </w:pPr>
    </w:p>
    <w:p w14:paraId="22A1CA45" w14:textId="77777777" w:rsidR="00A86A9D" w:rsidRDefault="003B25AE" w:rsidP="004E7140">
      <w:pPr>
        <w:ind w:right="-144"/>
        <w:rPr>
          <w:rFonts w:cs="Arial"/>
          <w:color w:val="000000"/>
          <w:szCs w:val="24"/>
        </w:rPr>
      </w:pPr>
      <w:r>
        <w:rPr>
          <w:rFonts w:cs="Arial"/>
          <w:color w:val="000000"/>
          <w:szCs w:val="24"/>
        </w:rPr>
        <w:t>The associated p</w:t>
      </w:r>
      <w:r w:rsidR="004E7140">
        <w:rPr>
          <w:rFonts w:cs="Arial"/>
          <w:color w:val="000000"/>
          <w:szCs w:val="24"/>
        </w:rPr>
        <w:t>roce</w:t>
      </w:r>
      <w:r>
        <w:rPr>
          <w:rFonts w:cs="Arial"/>
          <w:color w:val="000000"/>
          <w:szCs w:val="24"/>
        </w:rPr>
        <w:t>dure and forms attached to the p</w:t>
      </w:r>
      <w:r w:rsidR="004E7140">
        <w:rPr>
          <w:rFonts w:cs="Arial"/>
          <w:color w:val="000000"/>
          <w:szCs w:val="24"/>
        </w:rPr>
        <w:t>rocedure ensure consistent application across</w:t>
      </w:r>
      <w:r>
        <w:rPr>
          <w:rFonts w:cs="Arial"/>
          <w:color w:val="000000"/>
          <w:szCs w:val="24"/>
        </w:rPr>
        <w:t xml:space="preserve"> ACT</w:t>
      </w:r>
      <w:r w:rsidR="004E7140">
        <w:rPr>
          <w:rFonts w:cs="Arial"/>
          <w:color w:val="000000"/>
          <w:szCs w:val="24"/>
        </w:rPr>
        <w:t xml:space="preserve"> Health. </w:t>
      </w:r>
    </w:p>
    <w:p w14:paraId="22A1CA46" w14:textId="77777777" w:rsidR="003B25AE" w:rsidRPr="004E7140" w:rsidRDefault="003B25AE" w:rsidP="004E7140">
      <w:pPr>
        <w:ind w:right="-144"/>
        <w:rPr>
          <w:rFonts w:cs="Arial"/>
          <w:color w:val="000000"/>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48" w14:textId="77777777" w:rsidTr="002F61F7">
        <w:trPr>
          <w:cantSplit/>
          <w:trHeight w:val="285"/>
        </w:trPr>
        <w:tc>
          <w:tcPr>
            <w:tcW w:w="9158" w:type="dxa"/>
            <w:shd w:val="clear" w:color="auto" w:fill="000000"/>
          </w:tcPr>
          <w:p w14:paraId="22A1CA47" w14:textId="77777777" w:rsidR="00A86A9D" w:rsidRPr="001502DF" w:rsidRDefault="00A86A9D" w:rsidP="007A238D">
            <w:pPr>
              <w:pStyle w:val="Heading1"/>
              <w:rPr>
                <w:b w:val="0"/>
                <w:szCs w:val="24"/>
              </w:rPr>
            </w:pPr>
            <w:r>
              <w:rPr>
                <w:szCs w:val="24"/>
              </w:rPr>
              <w:t>Roles &amp; Responsibilities</w:t>
            </w:r>
          </w:p>
        </w:tc>
      </w:tr>
    </w:tbl>
    <w:p w14:paraId="22A1CA49" w14:textId="77777777" w:rsidR="004E7140" w:rsidRPr="00FF2BDD" w:rsidRDefault="00A86A9D" w:rsidP="004E7140">
      <w:pPr>
        <w:ind w:right="-144"/>
        <w:rPr>
          <w:rFonts w:cs="Arial"/>
          <w:b/>
          <w:color w:val="000000"/>
          <w:szCs w:val="24"/>
        </w:rPr>
      </w:pPr>
      <w:r w:rsidRPr="0080485B">
        <w:rPr>
          <w:rFonts w:cs="Arial"/>
          <w:b/>
          <w:szCs w:val="24"/>
        </w:rPr>
        <w:br/>
      </w:r>
      <w:r w:rsidR="004E7140" w:rsidRPr="00FF2BDD">
        <w:rPr>
          <w:rFonts w:cs="Arial"/>
          <w:b/>
          <w:color w:val="000000"/>
          <w:szCs w:val="24"/>
        </w:rPr>
        <w:t>Reimbursement</w:t>
      </w:r>
    </w:p>
    <w:p w14:paraId="22A1CA4A" w14:textId="77777777" w:rsidR="004E7140" w:rsidRDefault="004E7140" w:rsidP="004E7140">
      <w:pPr>
        <w:ind w:right="-144"/>
        <w:rPr>
          <w:rFonts w:cs="Arial"/>
          <w:color w:val="000000"/>
          <w:szCs w:val="24"/>
        </w:rPr>
      </w:pPr>
      <w:r>
        <w:rPr>
          <w:rFonts w:cs="Arial"/>
          <w:color w:val="000000"/>
          <w:szCs w:val="24"/>
        </w:rPr>
        <w:t xml:space="preserve">The meeting’s Chair/Organiser and Secretariat are responsible for ensuring that the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761392">
        <w:rPr>
          <w:rFonts w:cs="Arial"/>
          <w:color w:val="000000"/>
          <w:szCs w:val="24"/>
        </w:rPr>
        <w:t>representative</w:t>
      </w:r>
      <w:r>
        <w:rPr>
          <w:rFonts w:cs="Arial"/>
          <w:color w:val="000000"/>
          <w:szCs w:val="24"/>
        </w:rPr>
        <w:t xml:space="preserve"> is reimbursed appropriately and efficiently.  </w:t>
      </w:r>
    </w:p>
    <w:p w14:paraId="22A1CA4B" w14:textId="77777777" w:rsidR="004E7140" w:rsidRDefault="004E7140" w:rsidP="004E7140">
      <w:pPr>
        <w:ind w:right="-144"/>
        <w:rPr>
          <w:rFonts w:cs="Arial"/>
          <w:color w:val="000000"/>
          <w:szCs w:val="24"/>
        </w:rPr>
      </w:pPr>
    </w:p>
    <w:p w14:paraId="22A1CA4C" w14:textId="77777777" w:rsidR="004E7140" w:rsidRPr="00FF2BDD" w:rsidRDefault="004E7140" w:rsidP="004E7140">
      <w:pPr>
        <w:ind w:right="-144"/>
        <w:rPr>
          <w:rFonts w:cs="Arial"/>
          <w:b/>
          <w:color w:val="000000"/>
          <w:szCs w:val="24"/>
        </w:rPr>
      </w:pPr>
      <w:r w:rsidRPr="00FF2BDD">
        <w:rPr>
          <w:rFonts w:cs="Arial"/>
          <w:b/>
          <w:color w:val="000000"/>
          <w:szCs w:val="24"/>
        </w:rPr>
        <w:t>Confidentiality</w:t>
      </w:r>
    </w:p>
    <w:p w14:paraId="22A1CA4D" w14:textId="77777777" w:rsidR="004E7140" w:rsidRDefault="004E7140" w:rsidP="004E7140">
      <w:pPr>
        <w:ind w:right="-144"/>
        <w:rPr>
          <w:rFonts w:cs="Arial"/>
          <w:color w:val="000000"/>
          <w:szCs w:val="24"/>
        </w:rPr>
      </w:pPr>
      <w:r>
        <w:rPr>
          <w:rFonts w:cs="Arial"/>
          <w:color w:val="000000"/>
          <w:szCs w:val="24"/>
        </w:rPr>
        <w:t xml:space="preserve">Where necessary, a “Declaration of Confidentiality” form should be completed by the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761392">
        <w:rPr>
          <w:rFonts w:cs="Arial"/>
          <w:color w:val="000000"/>
          <w:szCs w:val="24"/>
        </w:rPr>
        <w:t>representative</w:t>
      </w:r>
      <w:r>
        <w:rPr>
          <w:rFonts w:cs="Arial"/>
          <w:color w:val="000000"/>
          <w:szCs w:val="24"/>
        </w:rPr>
        <w:t>. In addition, it is appropriate for the Chair of a meeting to identify confidential matters as they arise during the meeting. Meeting papers which are confidential/not for distribution should also be clearly marked as such.</w:t>
      </w:r>
    </w:p>
    <w:p w14:paraId="22A1CA4E" w14:textId="77777777" w:rsidR="00F3203D" w:rsidRDefault="00F3203D" w:rsidP="004E7140">
      <w:pPr>
        <w:ind w:right="-144"/>
        <w:rPr>
          <w:rFonts w:cs="Arial"/>
          <w:color w:val="000000"/>
          <w:szCs w:val="24"/>
        </w:rPr>
      </w:pPr>
    </w:p>
    <w:p w14:paraId="22A1CA4F" w14:textId="77777777" w:rsidR="00F3203D" w:rsidRPr="00F3203D" w:rsidRDefault="00F3203D" w:rsidP="00F3203D">
      <w:pPr>
        <w:ind w:right="-144"/>
        <w:rPr>
          <w:rFonts w:cs="Arial"/>
          <w:color w:val="000000"/>
          <w:szCs w:val="24"/>
        </w:rPr>
      </w:pPr>
      <w:r w:rsidRPr="00F3203D">
        <w:rPr>
          <w:rFonts w:cs="Arial"/>
          <w:color w:val="000000"/>
          <w:szCs w:val="24"/>
        </w:rPr>
        <w:t xml:space="preserve">Where a representative has access to information of a general nature provided as a result of their engagement with ACT Health, the representative may disclose that information externally if there has been no advice to them that the information is to remain confidential. </w:t>
      </w:r>
    </w:p>
    <w:p w14:paraId="22A1CA50" w14:textId="77777777" w:rsidR="00F3203D" w:rsidRPr="00F3203D" w:rsidRDefault="00F3203D" w:rsidP="00F3203D">
      <w:pPr>
        <w:ind w:right="-144"/>
        <w:rPr>
          <w:rFonts w:cs="Arial"/>
          <w:color w:val="000000"/>
          <w:szCs w:val="24"/>
        </w:rPr>
      </w:pPr>
    </w:p>
    <w:p w14:paraId="22A1CA51" w14:textId="77777777" w:rsidR="00F3203D" w:rsidRDefault="00F3203D" w:rsidP="00F3203D">
      <w:pPr>
        <w:ind w:right="-144"/>
        <w:rPr>
          <w:rFonts w:cs="Arial"/>
          <w:color w:val="000000"/>
          <w:szCs w:val="24"/>
        </w:rPr>
      </w:pPr>
      <w:r w:rsidRPr="00F3203D">
        <w:rPr>
          <w:rFonts w:cs="Arial"/>
          <w:color w:val="000000"/>
          <w:szCs w:val="24"/>
        </w:rPr>
        <w:t>Where a representative is advised that the information to which they have access is provided in confidence, the representative is required to maintain confidentiality of the information.  If, however, the representative has been engaged by ACT Health through Health Care Consumers Association ACT, Carers ACT or the ACT Mental Health Consumer Network, the representative may disclose that information within their respective organisation, including staff and other representatives, for the sole purpose of seeking input into the matter, thereby facilitating the representative to meet their representational obligations.</w:t>
      </w:r>
    </w:p>
    <w:p w14:paraId="22A1CA52" w14:textId="77777777" w:rsidR="004E7140" w:rsidRDefault="004E7140" w:rsidP="004E7140">
      <w:pPr>
        <w:ind w:right="-144"/>
        <w:rPr>
          <w:rFonts w:cs="Arial"/>
          <w:color w:val="000000"/>
          <w:szCs w:val="24"/>
        </w:rPr>
      </w:pPr>
    </w:p>
    <w:p w14:paraId="22A1CA53" w14:textId="77777777" w:rsidR="004E7140" w:rsidRPr="00FF2BDD" w:rsidRDefault="004E7140" w:rsidP="004E7140">
      <w:pPr>
        <w:ind w:right="-144"/>
        <w:rPr>
          <w:rFonts w:cs="Arial"/>
          <w:b/>
          <w:color w:val="000000"/>
          <w:szCs w:val="24"/>
        </w:rPr>
      </w:pPr>
      <w:r w:rsidRPr="00FF2BDD">
        <w:rPr>
          <w:rFonts w:cs="Arial"/>
          <w:b/>
          <w:color w:val="000000"/>
          <w:szCs w:val="24"/>
        </w:rPr>
        <w:t>Exemptions</w:t>
      </w:r>
    </w:p>
    <w:p w14:paraId="22A1CA54" w14:textId="77777777" w:rsidR="004E7140" w:rsidRDefault="004E7140" w:rsidP="004E7140">
      <w:pPr>
        <w:ind w:right="-144"/>
        <w:rPr>
          <w:rFonts w:cs="Arial"/>
          <w:color w:val="000000"/>
          <w:szCs w:val="24"/>
        </w:rPr>
      </w:pPr>
      <w:r>
        <w:rPr>
          <w:rFonts w:cs="Arial"/>
          <w:color w:val="000000"/>
          <w:szCs w:val="24"/>
        </w:rPr>
        <w:t>Where a Chair/Committee/meeting organiser would like to provide reimbursement which differs from this Policy, an exemption is to be sought from the Director-General by way of a written Minute, authorised by the relevant Executive Director.</w:t>
      </w:r>
    </w:p>
    <w:p w14:paraId="22A1CA55" w14:textId="77777777" w:rsidR="00A86A9D" w:rsidRDefault="00A86A9D" w:rsidP="004E7140">
      <w:pPr>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6376DC" w:rsidRPr="001B2BAC" w14:paraId="22A1CA57" w14:textId="77777777" w:rsidTr="006376DC">
        <w:trPr>
          <w:cantSplit/>
          <w:trHeight w:val="285"/>
        </w:trPr>
        <w:tc>
          <w:tcPr>
            <w:tcW w:w="9158" w:type="dxa"/>
            <w:shd w:val="clear" w:color="auto" w:fill="000000"/>
          </w:tcPr>
          <w:p w14:paraId="22A1CA56" w14:textId="77777777" w:rsidR="006376DC" w:rsidRPr="001502DF" w:rsidRDefault="006376DC" w:rsidP="00DF048C">
            <w:pPr>
              <w:spacing w:before="40" w:after="40"/>
              <w:rPr>
                <w:rFonts w:cs="Arial"/>
                <w:b/>
                <w:szCs w:val="24"/>
              </w:rPr>
            </w:pPr>
            <w:r>
              <w:rPr>
                <w:rFonts w:cs="Arial"/>
                <w:b/>
                <w:szCs w:val="24"/>
              </w:rPr>
              <w:t>Evaluation</w:t>
            </w:r>
          </w:p>
        </w:tc>
      </w:tr>
    </w:tbl>
    <w:p w14:paraId="22A1CA58" w14:textId="77777777" w:rsidR="006376DC" w:rsidRDefault="006376DC" w:rsidP="006376DC">
      <w:pPr>
        <w:jc w:val="both"/>
        <w:rPr>
          <w:rFonts w:cs="Arial"/>
          <w:b/>
          <w:szCs w:val="24"/>
        </w:rPr>
      </w:pPr>
    </w:p>
    <w:p w14:paraId="22A1CA59" w14:textId="77777777" w:rsidR="004E7140" w:rsidRDefault="004E7140" w:rsidP="004E7140">
      <w:pPr>
        <w:ind w:right="-144"/>
        <w:rPr>
          <w:rFonts w:cs="Arial"/>
          <w:b/>
          <w:szCs w:val="24"/>
        </w:rPr>
      </w:pPr>
      <w:r w:rsidRPr="0080485B">
        <w:rPr>
          <w:rFonts w:cs="Arial"/>
          <w:b/>
          <w:szCs w:val="24"/>
        </w:rPr>
        <w:t>Outcome Measures</w:t>
      </w:r>
    </w:p>
    <w:p w14:paraId="22A1CA5A" w14:textId="77777777" w:rsidR="004E7140" w:rsidRPr="00FF2BDD" w:rsidRDefault="004E7140" w:rsidP="004E7140">
      <w:pPr>
        <w:pStyle w:val="ListParagraph"/>
        <w:numPr>
          <w:ilvl w:val="0"/>
          <w:numId w:val="7"/>
        </w:numPr>
        <w:ind w:left="709" w:right="-144" w:hanging="283"/>
        <w:rPr>
          <w:rFonts w:cs="Arial"/>
          <w:i/>
          <w:szCs w:val="24"/>
        </w:rPr>
      </w:pPr>
      <w:r>
        <w:rPr>
          <w:rFonts w:cs="Arial"/>
          <w:color w:val="000000"/>
          <w:szCs w:val="24"/>
        </w:rPr>
        <w:t>Reasonable costs associated with attendance</w:t>
      </w:r>
      <w:r w:rsidR="0098335D">
        <w:rPr>
          <w:rFonts w:cs="Arial"/>
          <w:color w:val="000000"/>
          <w:szCs w:val="24"/>
        </w:rPr>
        <w:t xml:space="preserve"> at</w:t>
      </w:r>
      <w:r w:rsidR="003B25AE">
        <w:rPr>
          <w:rFonts w:cs="Arial"/>
          <w:color w:val="000000"/>
          <w:szCs w:val="24"/>
        </w:rPr>
        <w:t xml:space="preserve"> ACT</w:t>
      </w:r>
      <w:r w:rsidR="0098335D">
        <w:rPr>
          <w:rFonts w:cs="Arial"/>
          <w:color w:val="000000"/>
          <w:szCs w:val="24"/>
        </w:rPr>
        <w:t xml:space="preserve"> Health meetings</w:t>
      </w:r>
      <w:r>
        <w:rPr>
          <w:rFonts w:cs="Arial"/>
          <w:color w:val="000000"/>
          <w:szCs w:val="24"/>
        </w:rPr>
        <w:t xml:space="preserve"> are reimbursed to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810D42">
        <w:rPr>
          <w:rFonts w:cs="Arial"/>
          <w:color w:val="000000"/>
          <w:szCs w:val="24"/>
        </w:rPr>
        <w:t>representatives</w:t>
      </w:r>
      <w:r>
        <w:rPr>
          <w:rFonts w:cs="Arial"/>
          <w:color w:val="000000"/>
          <w:szCs w:val="24"/>
        </w:rPr>
        <w:t>.</w:t>
      </w:r>
    </w:p>
    <w:p w14:paraId="22A1CA5B" w14:textId="77777777" w:rsidR="004E7140" w:rsidRPr="0080485B" w:rsidRDefault="004E7140" w:rsidP="004E7140">
      <w:pPr>
        <w:ind w:right="-144"/>
        <w:rPr>
          <w:rFonts w:cs="Arial"/>
          <w:b/>
          <w:szCs w:val="24"/>
        </w:rPr>
      </w:pPr>
    </w:p>
    <w:p w14:paraId="22A1CA5C" w14:textId="77777777" w:rsidR="004E7140" w:rsidRDefault="004E7140" w:rsidP="004E7140">
      <w:pPr>
        <w:ind w:right="-144"/>
        <w:rPr>
          <w:rFonts w:cs="Arial"/>
          <w:b/>
          <w:szCs w:val="24"/>
        </w:rPr>
      </w:pPr>
      <w:r w:rsidRPr="0080485B">
        <w:rPr>
          <w:rFonts w:cs="Arial"/>
          <w:b/>
          <w:szCs w:val="24"/>
        </w:rPr>
        <w:t>Method</w:t>
      </w:r>
    </w:p>
    <w:p w14:paraId="22A1CA5D" w14:textId="77777777" w:rsidR="004E7140" w:rsidRPr="00FF2BDD" w:rsidRDefault="004E7140" w:rsidP="004E7140">
      <w:pPr>
        <w:pStyle w:val="ListParagraph"/>
        <w:numPr>
          <w:ilvl w:val="0"/>
          <w:numId w:val="7"/>
        </w:numPr>
        <w:ind w:left="709" w:right="-144" w:hanging="283"/>
        <w:rPr>
          <w:rFonts w:cs="Arial"/>
          <w:i/>
          <w:szCs w:val="24"/>
        </w:rPr>
      </w:pPr>
      <w:r w:rsidRPr="00FF2BDD">
        <w:rPr>
          <w:rFonts w:cs="Arial"/>
          <w:color w:val="000000"/>
          <w:szCs w:val="24"/>
        </w:rPr>
        <w:t>Performance measures:</w:t>
      </w:r>
    </w:p>
    <w:p w14:paraId="22A1CA5E" w14:textId="77777777" w:rsidR="004E7140" w:rsidRDefault="004E7140" w:rsidP="004E7140">
      <w:pPr>
        <w:numPr>
          <w:ilvl w:val="0"/>
          <w:numId w:val="8"/>
        </w:numPr>
        <w:ind w:right="-144"/>
        <w:rPr>
          <w:rFonts w:cs="Arial"/>
          <w:color w:val="000000"/>
          <w:szCs w:val="24"/>
        </w:rPr>
      </w:pPr>
      <w:r>
        <w:rPr>
          <w:rFonts w:cs="Arial"/>
          <w:color w:val="000000"/>
          <w:szCs w:val="24"/>
        </w:rPr>
        <w:t xml:space="preserve">A copy of the </w:t>
      </w:r>
      <w:r w:rsidR="003B25AE">
        <w:rPr>
          <w:rFonts w:cs="Arial"/>
          <w:color w:val="000000"/>
          <w:szCs w:val="24"/>
        </w:rPr>
        <w:t>p</w:t>
      </w:r>
      <w:r>
        <w:rPr>
          <w:rFonts w:cs="Arial"/>
          <w:color w:val="000000"/>
          <w:szCs w:val="24"/>
        </w:rPr>
        <w:t xml:space="preserve">olicy and </w:t>
      </w:r>
      <w:r w:rsidR="003B25AE">
        <w:rPr>
          <w:rFonts w:cs="Arial"/>
          <w:color w:val="000000"/>
          <w:szCs w:val="24"/>
        </w:rPr>
        <w:t>procedure</w:t>
      </w:r>
      <w:r>
        <w:rPr>
          <w:rFonts w:cs="Arial"/>
          <w:color w:val="000000"/>
          <w:szCs w:val="24"/>
        </w:rPr>
        <w:t xml:space="preserve"> is supplied to all new </w:t>
      </w:r>
      <w:r w:rsidR="00810D42">
        <w:rPr>
          <w:rFonts w:cs="Arial"/>
          <w:color w:val="000000"/>
          <w:szCs w:val="24"/>
        </w:rPr>
        <w:t>representative</w:t>
      </w:r>
      <w:r>
        <w:rPr>
          <w:rFonts w:cs="Arial"/>
          <w:color w:val="000000"/>
          <w:szCs w:val="24"/>
        </w:rPr>
        <w:t>s.</w:t>
      </w:r>
    </w:p>
    <w:p w14:paraId="22A1CA5F" w14:textId="77777777" w:rsidR="004E7140" w:rsidRPr="006C5215" w:rsidRDefault="004E7140" w:rsidP="006C5215">
      <w:pPr>
        <w:numPr>
          <w:ilvl w:val="0"/>
          <w:numId w:val="8"/>
        </w:numPr>
        <w:ind w:right="-144"/>
        <w:rPr>
          <w:rFonts w:cs="Arial"/>
          <w:color w:val="000000"/>
          <w:szCs w:val="24"/>
        </w:rPr>
      </w:pPr>
      <w:r>
        <w:rPr>
          <w:rFonts w:cs="Arial"/>
          <w:color w:val="000000"/>
          <w:szCs w:val="24"/>
        </w:rPr>
        <w:t xml:space="preserve">Upon acceptance of the offer to receive reimbursement, appropriate levels of reimbursement are paid to the </w:t>
      </w:r>
      <w:r w:rsidR="00810D42">
        <w:rPr>
          <w:rFonts w:cs="Arial"/>
          <w:color w:val="000000"/>
          <w:szCs w:val="24"/>
        </w:rPr>
        <w:t>representative</w:t>
      </w:r>
      <w:r w:rsidR="006C5215">
        <w:rPr>
          <w:rFonts w:cs="Arial"/>
          <w:color w:val="000000"/>
          <w:szCs w:val="24"/>
        </w:rPr>
        <w:t xml:space="preserve"> within the correct timeframe.</w:t>
      </w:r>
    </w:p>
    <w:p w14:paraId="22A1CA60" w14:textId="77777777" w:rsidR="006376DC" w:rsidRDefault="006376DC" w:rsidP="006376DC">
      <w:pPr>
        <w:pStyle w:val="ListParagraph"/>
        <w:ind w:left="0"/>
        <w:jc w:val="both"/>
        <w:rPr>
          <w:rFonts w:cs="Arial"/>
          <w:szCs w:val="24"/>
        </w:rPr>
      </w:pPr>
    </w:p>
    <w:p w14:paraId="22A1CA61" w14:textId="77777777" w:rsidR="00F3203D" w:rsidRPr="00F3203D" w:rsidRDefault="00F3203D" w:rsidP="00F3203D">
      <w:pPr>
        <w:pStyle w:val="ListParagraph"/>
        <w:numPr>
          <w:ilvl w:val="0"/>
          <w:numId w:val="7"/>
        </w:numPr>
        <w:ind w:left="709"/>
        <w:jc w:val="both"/>
        <w:rPr>
          <w:rFonts w:cs="Arial"/>
          <w:szCs w:val="24"/>
        </w:rPr>
      </w:pPr>
      <w:r>
        <w:rPr>
          <w:rFonts w:cs="Arial"/>
          <w:color w:val="000000"/>
          <w:szCs w:val="24"/>
        </w:rPr>
        <w:lastRenderedPageBreak/>
        <w:t>Service/program managers are responsible for monitoring compliance to these two performance measures through an annual audit and will report audit results to the Head of their Division within one month of the audit’s completion.</w:t>
      </w:r>
    </w:p>
    <w:p w14:paraId="22A1CA62" w14:textId="77777777" w:rsidR="00F3203D" w:rsidRPr="00A71C2C" w:rsidRDefault="00F3203D" w:rsidP="00F3203D">
      <w:pPr>
        <w:pStyle w:val="ListParagraph"/>
        <w:ind w:left="709"/>
        <w:jc w:val="both"/>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64" w14:textId="77777777" w:rsidTr="002F61F7">
        <w:trPr>
          <w:cantSplit/>
          <w:trHeight w:val="285"/>
        </w:trPr>
        <w:tc>
          <w:tcPr>
            <w:tcW w:w="9158" w:type="dxa"/>
            <w:shd w:val="clear" w:color="auto" w:fill="000000"/>
          </w:tcPr>
          <w:p w14:paraId="22A1CA63" w14:textId="77777777" w:rsidR="00A86A9D" w:rsidRPr="001502DF" w:rsidRDefault="00A86A9D" w:rsidP="007A238D">
            <w:pPr>
              <w:pStyle w:val="Heading1"/>
              <w:rPr>
                <w:b w:val="0"/>
                <w:szCs w:val="24"/>
              </w:rPr>
            </w:pPr>
            <w:r>
              <w:rPr>
                <w:szCs w:val="24"/>
              </w:rPr>
              <w:t xml:space="preserve">Related </w:t>
            </w:r>
            <w:r w:rsidRPr="008652F8">
              <w:rPr>
                <w:szCs w:val="24"/>
              </w:rPr>
              <w:t>Policies, Procedures, Guidelines and Legislation</w:t>
            </w:r>
          </w:p>
        </w:tc>
      </w:tr>
    </w:tbl>
    <w:p w14:paraId="22A1CA65" w14:textId="77777777" w:rsidR="00A86A9D" w:rsidRDefault="00A86A9D" w:rsidP="00A86A9D">
      <w:pPr>
        <w:rPr>
          <w:rFonts w:cs="Arial"/>
          <w:szCs w:val="24"/>
        </w:rPr>
      </w:pPr>
    </w:p>
    <w:p w14:paraId="22A1CA66" w14:textId="77777777" w:rsidR="004E7140" w:rsidRDefault="004E7140" w:rsidP="004E7140">
      <w:pPr>
        <w:ind w:right="-144"/>
        <w:outlineLvl w:val="0"/>
        <w:rPr>
          <w:rFonts w:cs="Arial"/>
          <w:color w:val="000000"/>
          <w:szCs w:val="24"/>
        </w:rPr>
      </w:pPr>
      <w:r>
        <w:rPr>
          <w:rFonts w:cs="Arial"/>
          <w:color w:val="000000"/>
          <w:szCs w:val="24"/>
        </w:rPr>
        <w:t xml:space="preserve">Consumer, </w:t>
      </w:r>
      <w:r w:rsidR="00810D42">
        <w:rPr>
          <w:rFonts w:cs="Arial"/>
          <w:color w:val="000000"/>
          <w:szCs w:val="24"/>
        </w:rPr>
        <w:t>Carer</w:t>
      </w:r>
      <w:r>
        <w:rPr>
          <w:rFonts w:cs="Arial"/>
          <w:color w:val="000000"/>
          <w:szCs w:val="24"/>
        </w:rPr>
        <w:t xml:space="preserve"> and Community Representative Procedure</w:t>
      </w:r>
    </w:p>
    <w:p w14:paraId="22A1CA67" w14:textId="77777777" w:rsidR="004E7140" w:rsidRDefault="003B25AE" w:rsidP="004E7140">
      <w:pPr>
        <w:ind w:right="-144"/>
        <w:outlineLvl w:val="0"/>
        <w:rPr>
          <w:rFonts w:cs="Arial"/>
          <w:color w:val="000000"/>
          <w:szCs w:val="24"/>
        </w:rPr>
      </w:pPr>
      <w:r>
        <w:rPr>
          <w:rFonts w:cs="Arial"/>
          <w:color w:val="000000"/>
          <w:szCs w:val="24"/>
        </w:rPr>
        <w:t>ACT Health</w:t>
      </w:r>
      <w:r w:rsidR="004E7140">
        <w:rPr>
          <w:rFonts w:cs="Arial"/>
          <w:color w:val="000000"/>
          <w:szCs w:val="24"/>
        </w:rPr>
        <w:t xml:space="preserve"> Consumer and Carer Participation </w:t>
      </w:r>
      <w:r w:rsidR="00EC6D22">
        <w:rPr>
          <w:rFonts w:cs="Arial"/>
          <w:color w:val="000000"/>
          <w:szCs w:val="24"/>
        </w:rPr>
        <w:t>Policy DGD15-005</w:t>
      </w:r>
    </w:p>
    <w:p w14:paraId="22A1CA68" w14:textId="77777777" w:rsidR="006376DC" w:rsidRPr="006019FE" w:rsidRDefault="006376DC" w:rsidP="00A86A9D">
      <w:pPr>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6A" w14:textId="77777777" w:rsidTr="002F61F7">
        <w:trPr>
          <w:cantSplit/>
          <w:trHeight w:val="285"/>
        </w:trPr>
        <w:tc>
          <w:tcPr>
            <w:tcW w:w="9158" w:type="dxa"/>
            <w:shd w:val="clear" w:color="auto" w:fill="000000"/>
          </w:tcPr>
          <w:p w14:paraId="22A1CA69" w14:textId="77777777" w:rsidR="00A86A9D" w:rsidRPr="007A238D" w:rsidRDefault="00DF048C" w:rsidP="00DF048C">
            <w:pPr>
              <w:pStyle w:val="Heading1"/>
              <w:rPr>
                <w:color w:val="FFFFFF" w:themeColor="background1"/>
              </w:rPr>
            </w:pPr>
            <w:r>
              <w:rPr>
                <w:color w:val="FFFFFF" w:themeColor="background1"/>
              </w:rPr>
              <w:t>Definition of Terms</w:t>
            </w:r>
          </w:p>
        </w:tc>
      </w:tr>
    </w:tbl>
    <w:p w14:paraId="22A1CA6B" w14:textId="77777777" w:rsidR="00A86A9D" w:rsidRDefault="00A86A9D" w:rsidP="00A86A9D">
      <w:pPr>
        <w:jc w:val="both"/>
        <w:rPr>
          <w:rFonts w:cs="Arial"/>
          <w:b/>
          <w:szCs w:val="24"/>
        </w:rPr>
      </w:pPr>
    </w:p>
    <w:p w14:paraId="22A1CA6C" w14:textId="77777777" w:rsidR="004E7140" w:rsidRPr="00740F3E" w:rsidRDefault="004E7140" w:rsidP="004E7140">
      <w:pPr>
        <w:ind w:right="-144"/>
        <w:outlineLvl w:val="0"/>
        <w:rPr>
          <w:rFonts w:cs="Arial"/>
          <w:b/>
          <w:color w:val="000000"/>
          <w:szCs w:val="24"/>
        </w:rPr>
      </w:pPr>
      <w:r w:rsidRPr="00740F3E">
        <w:rPr>
          <w:rFonts w:cs="Arial"/>
          <w:b/>
          <w:color w:val="000000"/>
          <w:szCs w:val="24"/>
        </w:rPr>
        <w:t>Consumer, Carer and Community Representative</w:t>
      </w:r>
    </w:p>
    <w:p w14:paraId="22A1CA6D" w14:textId="77777777" w:rsidR="004E7140" w:rsidRDefault="004E7140" w:rsidP="004E7140">
      <w:pPr>
        <w:ind w:right="-144"/>
        <w:outlineLvl w:val="0"/>
        <w:rPr>
          <w:rFonts w:cs="Arial"/>
          <w:color w:val="000000"/>
          <w:szCs w:val="24"/>
        </w:rPr>
      </w:pPr>
      <w:r>
        <w:rPr>
          <w:rFonts w:cs="Arial"/>
          <w:color w:val="000000"/>
          <w:szCs w:val="24"/>
        </w:rPr>
        <w:t xml:space="preserve">Consumer,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810D42">
        <w:rPr>
          <w:rFonts w:cs="Arial"/>
          <w:color w:val="000000"/>
          <w:szCs w:val="24"/>
        </w:rPr>
        <w:t>representative</w:t>
      </w:r>
      <w:r>
        <w:rPr>
          <w:rFonts w:cs="Arial"/>
          <w:color w:val="000000"/>
          <w:szCs w:val="24"/>
        </w:rPr>
        <w:t xml:space="preserve">s are trained in advocacy and/or representation, and are selected and endorsed by an advocacy or community agency to represent the views and interests of health consumers. For the purpose of this policy,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810D42">
        <w:rPr>
          <w:rFonts w:cs="Arial"/>
          <w:color w:val="000000"/>
          <w:szCs w:val="24"/>
        </w:rPr>
        <w:t>representatives</w:t>
      </w:r>
      <w:r>
        <w:rPr>
          <w:rFonts w:cs="Arial"/>
          <w:color w:val="000000"/>
          <w:szCs w:val="24"/>
        </w:rPr>
        <w:t xml:space="preserve"> also include “independent community members” who are either consumers or carers and</w:t>
      </w:r>
      <w:r w:rsidR="0098335D">
        <w:rPr>
          <w:rFonts w:cs="Arial"/>
          <w:color w:val="000000"/>
          <w:szCs w:val="24"/>
        </w:rPr>
        <w:t xml:space="preserve"> have been invited to a meeting.</w:t>
      </w:r>
    </w:p>
    <w:p w14:paraId="22A1CA6E" w14:textId="77777777" w:rsidR="004E7140" w:rsidRDefault="004E7140" w:rsidP="004E7140">
      <w:pPr>
        <w:ind w:right="-144"/>
        <w:outlineLvl w:val="0"/>
        <w:rPr>
          <w:rFonts w:cs="Arial"/>
          <w:color w:val="000000"/>
          <w:szCs w:val="24"/>
        </w:rPr>
      </w:pPr>
    </w:p>
    <w:p w14:paraId="22A1CA6F" w14:textId="77777777" w:rsidR="004E7140" w:rsidRPr="00740F3E" w:rsidRDefault="004E7140" w:rsidP="004E7140">
      <w:pPr>
        <w:ind w:right="-144"/>
        <w:outlineLvl w:val="0"/>
        <w:rPr>
          <w:rFonts w:cs="Arial"/>
          <w:b/>
          <w:color w:val="000000"/>
          <w:szCs w:val="24"/>
        </w:rPr>
      </w:pPr>
      <w:r w:rsidRPr="00740F3E">
        <w:rPr>
          <w:rFonts w:cs="Arial"/>
          <w:b/>
          <w:color w:val="000000"/>
          <w:szCs w:val="24"/>
        </w:rPr>
        <w:t xml:space="preserve">Meeting </w:t>
      </w:r>
    </w:p>
    <w:p w14:paraId="22A1CA70" w14:textId="77777777" w:rsidR="004E7140" w:rsidRDefault="004E7140" w:rsidP="004E7140">
      <w:pPr>
        <w:ind w:right="-144"/>
        <w:outlineLvl w:val="0"/>
        <w:rPr>
          <w:rFonts w:cs="Arial"/>
          <w:color w:val="000000"/>
          <w:szCs w:val="24"/>
        </w:rPr>
      </w:pPr>
      <w:r>
        <w:rPr>
          <w:rFonts w:cs="Arial"/>
          <w:color w:val="000000"/>
          <w:szCs w:val="24"/>
        </w:rPr>
        <w:t xml:space="preserve">For the purpose of this policy, a meeting is defined as an activity where a person is formally engaged by </w:t>
      </w:r>
      <w:r w:rsidR="003B25AE">
        <w:rPr>
          <w:rFonts w:cs="Arial"/>
          <w:color w:val="000000"/>
          <w:szCs w:val="24"/>
        </w:rPr>
        <w:t>ACT</w:t>
      </w:r>
      <w:r>
        <w:rPr>
          <w:rFonts w:cs="Arial"/>
          <w:color w:val="000000"/>
          <w:szCs w:val="24"/>
        </w:rPr>
        <w:t xml:space="preserve"> Health in their capacity as a </w:t>
      </w:r>
      <w:r w:rsidR="00810D42">
        <w:rPr>
          <w:rFonts w:cs="Arial"/>
          <w:color w:val="000000"/>
          <w:szCs w:val="24"/>
        </w:rPr>
        <w:t>consumer</w:t>
      </w:r>
      <w:r>
        <w:rPr>
          <w:rFonts w:cs="Arial"/>
          <w:color w:val="000000"/>
          <w:szCs w:val="24"/>
        </w:rPr>
        <w:t xml:space="preserve">, </w:t>
      </w:r>
      <w:r w:rsidR="00810D42">
        <w:rPr>
          <w:rFonts w:cs="Arial"/>
          <w:color w:val="000000"/>
          <w:szCs w:val="24"/>
        </w:rPr>
        <w:t>carer</w:t>
      </w:r>
      <w:r>
        <w:rPr>
          <w:rFonts w:cs="Arial"/>
          <w:color w:val="000000"/>
          <w:szCs w:val="24"/>
        </w:rPr>
        <w:t xml:space="preserve"> and </w:t>
      </w:r>
      <w:r w:rsidR="00810D42">
        <w:rPr>
          <w:rFonts w:cs="Arial"/>
          <w:color w:val="000000"/>
          <w:szCs w:val="24"/>
        </w:rPr>
        <w:t>community</w:t>
      </w:r>
      <w:r>
        <w:rPr>
          <w:rFonts w:cs="Arial"/>
          <w:color w:val="000000"/>
          <w:szCs w:val="24"/>
        </w:rPr>
        <w:t xml:space="preserve"> </w:t>
      </w:r>
      <w:r w:rsidR="00810D42">
        <w:rPr>
          <w:rFonts w:cs="Arial"/>
          <w:color w:val="000000"/>
          <w:szCs w:val="24"/>
        </w:rPr>
        <w:t>representative</w:t>
      </w:r>
      <w:r>
        <w:rPr>
          <w:rFonts w:cs="Arial"/>
          <w:color w:val="000000"/>
          <w:szCs w:val="24"/>
        </w:rPr>
        <w:t xml:space="preserve">. Examples include, but are not limited to, committee meetings, selection panels, inductions, and meetings convened by organisations contracted by </w:t>
      </w:r>
      <w:r w:rsidR="003B25AE">
        <w:rPr>
          <w:rFonts w:cs="Arial"/>
          <w:color w:val="000000"/>
          <w:szCs w:val="24"/>
        </w:rPr>
        <w:t>ACT</w:t>
      </w:r>
      <w:r>
        <w:rPr>
          <w:rFonts w:cs="Arial"/>
          <w:color w:val="000000"/>
          <w:szCs w:val="24"/>
        </w:rPr>
        <w:t xml:space="preserve"> Health. However, this policy does not include high-level committees such as ministerially appointed councils and committees.</w:t>
      </w:r>
    </w:p>
    <w:p w14:paraId="22A1CA71" w14:textId="77777777" w:rsidR="00A86A9D" w:rsidRPr="00032890" w:rsidRDefault="00A86A9D" w:rsidP="00A86A9D">
      <w:pPr>
        <w:jc w:val="both"/>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73" w14:textId="77777777" w:rsidTr="002F61F7">
        <w:trPr>
          <w:cantSplit/>
          <w:trHeight w:val="285"/>
        </w:trPr>
        <w:tc>
          <w:tcPr>
            <w:tcW w:w="9158" w:type="dxa"/>
            <w:shd w:val="clear" w:color="auto" w:fill="000000"/>
          </w:tcPr>
          <w:p w14:paraId="22A1CA72" w14:textId="77777777" w:rsidR="00A86A9D" w:rsidRPr="007A238D" w:rsidRDefault="00A86A9D" w:rsidP="007A238D">
            <w:pPr>
              <w:pStyle w:val="Heading1"/>
              <w:rPr>
                <w:color w:val="FFFFFF" w:themeColor="background1"/>
              </w:rPr>
            </w:pPr>
            <w:r w:rsidRPr="007A238D">
              <w:rPr>
                <w:color w:val="FFFFFF" w:themeColor="background1"/>
              </w:rPr>
              <w:t>References</w:t>
            </w:r>
          </w:p>
        </w:tc>
      </w:tr>
    </w:tbl>
    <w:p w14:paraId="22A1CA74" w14:textId="77777777" w:rsidR="00A86A9D" w:rsidRDefault="00A86A9D" w:rsidP="00A86A9D">
      <w:pPr>
        <w:jc w:val="both"/>
        <w:rPr>
          <w:rFonts w:cs="Arial"/>
          <w:b/>
          <w:szCs w:val="24"/>
        </w:rPr>
      </w:pPr>
    </w:p>
    <w:p w14:paraId="22A1CA75" w14:textId="77777777" w:rsidR="004E7140" w:rsidRPr="0025453E" w:rsidRDefault="004E7140" w:rsidP="004E7140">
      <w:pPr>
        <w:ind w:right="-144"/>
        <w:outlineLvl w:val="0"/>
        <w:rPr>
          <w:rFonts w:cs="Arial"/>
          <w:color w:val="000000"/>
          <w:szCs w:val="24"/>
        </w:rPr>
      </w:pPr>
      <w:r w:rsidRPr="0025453E">
        <w:rPr>
          <w:rFonts w:cs="Arial"/>
          <w:color w:val="000000"/>
          <w:szCs w:val="24"/>
        </w:rPr>
        <w:t xml:space="preserve">Position Statement, Consumer representatives shape health in Australia. 2007 </w:t>
      </w:r>
    </w:p>
    <w:p w14:paraId="22A1CA76" w14:textId="77777777" w:rsidR="004E7140" w:rsidRPr="00087016" w:rsidRDefault="004E7140" w:rsidP="004E7140">
      <w:pPr>
        <w:ind w:right="-144"/>
        <w:outlineLvl w:val="0"/>
        <w:rPr>
          <w:rFonts w:cs="Arial"/>
          <w:color w:val="000000"/>
          <w:szCs w:val="24"/>
        </w:rPr>
      </w:pPr>
      <w:r w:rsidRPr="0025453E">
        <w:rPr>
          <w:rFonts w:cs="Arial"/>
          <w:color w:val="000000"/>
          <w:szCs w:val="24"/>
        </w:rPr>
        <w:t>https://www.chf.org.au/pdfs/pos/pos-consumer-representatives-shape-health-in-Australia.pdf Accessed Ju</w:t>
      </w:r>
      <w:r>
        <w:rPr>
          <w:rFonts w:cs="Arial"/>
          <w:color w:val="000000"/>
          <w:szCs w:val="24"/>
        </w:rPr>
        <w:t>ne</w:t>
      </w:r>
      <w:r w:rsidRPr="0025453E">
        <w:rPr>
          <w:rFonts w:cs="Arial"/>
          <w:color w:val="000000"/>
          <w:szCs w:val="24"/>
        </w:rPr>
        <w:t xml:space="preserve"> 201</w:t>
      </w:r>
      <w:r>
        <w:rPr>
          <w:rFonts w:cs="Arial"/>
          <w:color w:val="000000"/>
          <w:szCs w:val="24"/>
        </w:rPr>
        <w:t>6</w:t>
      </w:r>
      <w:r w:rsidRPr="0025453E">
        <w:rPr>
          <w:rFonts w:cs="Arial"/>
          <w:color w:val="000000"/>
          <w:szCs w:val="24"/>
        </w:rPr>
        <w:t xml:space="preserve">. </w:t>
      </w:r>
    </w:p>
    <w:p w14:paraId="22A1CA77" w14:textId="77777777" w:rsidR="00A86A9D" w:rsidRDefault="00A86A9D" w:rsidP="00A86A9D">
      <w:pPr>
        <w:jc w:val="both"/>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636DD9" w:rsidRPr="001B2BAC" w14:paraId="22A1CA79" w14:textId="77777777" w:rsidTr="006376DC">
        <w:trPr>
          <w:cantSplit/>
          <w:trHeight w:val="285"/>
        </w:trPr>
        <w:tc>
          <w:tcPr>
            <w:tcW w:w="9158" w:type="dxa"/>
            <w:shd w:val="clear" w:color="auto" w:fill="000000"/>
          </w:tcPr>
          <w:p w14:paraId="22A1CA78" w14:textId="77777777" w:rsidR="00636DD9" w:rsidRPr="007A238D" w:rsidRDefault="00636DD9" w:rsidP="006376DC">
            <w:pPr>
              <w:pStyle w:val="Heading1"/>
              <w:rPr>
                <w:color w:val="FFFFFF" w:themeColor="background1"/>
              </w:rPr>
            </w:pPr>
            <w:r>
              <w:rPr>
                <w:color w:val="FFFFFF" w:themeColor="background1"/>
              </w:rPr>
              <w:t>Search Terms</w:t>
            </w:r>
          </w:p>
        </w:tc>
      </w:tr>
    </w:tbl>
    <w:p w14:paraId="22A1CA7A" w14:textId="77777777" w:rsidR="00636DD9" w:rsidRDefault="00636DD9" w:rsidP="00636DD9">
      <w:pPr>
        <w:rPr>
          <w:rFonts w:cs="Calibri,Bold"/>
          <w:bCs/>
          <w:i/>
          <w:szCs w:val="24"/>
          <w:lang w:eastAsia="en-AU"/>
        </w:rPr>
      </w:pPr>
    </w:p>
    <w:p w14:paraId="22A1CA7B" w14:textId="77777777" w:rsidR="009E4AED" w:rsidRDefault="009E4AED" w:rsidP="00636DD9">
      <w:pPr>
        <w:rPr>
          <w:rFonts w:cs="Calibri,Bold"/>
          <w:bCs/>
          <w:szCs w:val="24"/>
          <w:lang w:eastAsia="en-AU"/>
        </w:rPr>
      </w:pPr>
      <w:r>
        <w:rPr>
          <w:rFonts w:cs="Calibri,Bold"/>
          <w:bCs/>
          <w:szCs w:val="24"/>
          <w:lang w:eastAsia="en-AU"/>
        </w:rPr>
        <w:t>Consumer</w:t>
      </w:r>
    </w:p>
    <w:p w14:paraId="22A1CA7C" w14:textId="77777777" w:rsidR="006C5215" w:rsidRDefault="006C5215" w:rsidP="00636DD9">
      <w:pPr>
        <w:rPr>
          <w:rFonts w:cs="Calibri,Bold"/>
          <w:bCs/>
          <w:szCs w:val="24"/>
          <w:lang w:eastAsia="en-AU"/>
        </w:rPr>
      </w:pPr>
      <w:r>
        <w:rPr>
          <w:rFonts w:cs="Calibri,Bold"/>
          <w:bCs/>
          <w:szCs w:val="24"/>
          <w:lang w:eastAsia="en-AU"/>
        </w:rPr>
        <w:t>Carer</w:t>
      </w:r>
    </w:p>
    <w:p w14:paraId="22A1CA7D" w14:textId="77777777" w:rsidR="006C5215" w:rsidRDefault="006C5215" w:rsidP="00636DD9">
      <w:pPr>
        <w:rPr>
          <w:rFonts w:cs="Calibri,Bold"/>
          <w:bCs/>
          <w:szCs w:val="24"/>
          <w:lang w:eastAsia="en-AU"/>
        </w:rPr>
      </w:pPr>
      <w:r>
        <w:rPr>
          <w:rFonts w:cs="Calibri,Bold"/>
          <w:bCs/>
          <w:szCs w:val="24"/>
          <w:lang w:eastAsia="en-AU"/>
        </w:rPr>
        <w:t>Representative</w:t>
      </w:r>
    </w:p>
    <w:p w14:paraId="22A1CA7E" w14:textId="77777777" w:rsidR="006C5215" w:rsidRDefault="006C5215" w:rsidP="00636DD9">
      <w:pPr>
        <w:rPr>
          <w:rFonts w:cs="Calibri,Bold"/>
          <w:bCs/>
          <w:szCs w:val="24"/>
          <w:lang w:eastAsia="en-AU"/>
        </w:rPr>
      </w:pPr>
      <w:r>
        <w:rPr>
          <w:rFonts w:cs="Calibri,Bold"/>
          <w:bCs/>
          <w:szCs w:val="24"/>
          <w:lang w:eastAsia="en-AU"/>
        </w:rPr>
        <w:t>Community</w:t>
      </w:r>
    </w:p>
    <w:p w14:paraId="22A1CA7F" w14:textId="77777777" w:rsidR="007A238D" w:rsidRDefault="006C5215" w:rsidP="006C5215">
      <w:pPr>
        <w:rPr>
          <w:rFonts w:cs="Calibri,Bold"/>
          <w:bCs/>
          <w:szCs w:val="24"/>
          <w:lang w:eastAsia="en-AU"/>
        </w:rPr>
      </w:pPr>
      <w:r>
        <w:rPr>
          <w:rFonts w:cs="Calibri,Bold"/>
          <w:bCs/>
          <w:szCs w:val="24"/>
          <w:lang w:eastAsia="en-AU"/>
        </w:rPr>
        <w:t>Reimbursement</w:t>
      </w:r>
    </w:p>
    <w:p w14:paraId="22A1CA80" w14:textId="77777777" w:rsidR="006C5215" w:rsidRPr="00032890" w:rsidRDefault="006C5215" w:rsidP="006C5215">
      <w:pPr>
        <w:rPr>
          <w:rFonts w:cs="Arial"/>
          <w:szCs w:val="24"/>
        </w:rPr>
      </w:pPr>
    </w:p>
    <w:tbl>
      <w:tblPr>
        <w:tblpPr w:leftFromText="180" w:rightFromText="180" w:vertAnchor="text" w:horzAnchor="margin" w:tblpX="108" w:tblpY="181"/>
        <w:tblW w:w="9158" w:type="dxa"/>
        <w:shd w:val="clear" w:color="auto" w:fill="000000"/>
        <w:tblLook w:val="0000" w:firstRow="0" w:lastRow="0" w:firstColumn="0" w:lastColumn="0" w:noHBand="0" w:noVBand="0"/>
      </w:tblPr>
      <w:tblGrid>
        <w:gridCol w:w="9158"/>
      </w:tblGrid>
      <w:tr w:rsidR="00A86A9D" w:rsidRPr="001B2BAC" w14:paraId="22A1CA82" w14:textId="77777777" w:rsidTr="002F61F7">
        <w:trPr>
          <w:cantSplit/>
          <w:trHeight w:val="285"/>
        </w:trPr>
        <w:tc>
          <w:tcPr>
            <w:tcW w:w="9158" w:type="dxa"/>
            <w:shd w:val="clear" w:color="auto" w:fill="000000"/>
          </w:tcPr>
          <w:p w14:paraId="22A1CA81" w14:textId="77777777" w:rsidR="00A86A9D" w:rsidRPr="007A238D" w:rsidRDefault="00A86A9D" w:rsidP="007A238D">
            <w:pPr>
              <w:pStyle w:val="Heading1"/>
              <w:rPr>
                <w:color w:val="FFFFFF" w:themeColor="background1"/>
              </w:rPr>
            </w:pPr>
            <w:r w:rsidRPr="007A238D">
              <w:rPr>
                <w:color w:val="FFFFFF" w:themeColor="background1"/>
              </w:rPr>
              <w:t>Attachments</w:t>
            </w:r>
          </w:p>
        </w:tc>
      </w:tr>
    </w:tbl>
    <w:p w14:paraId="22A1CA83" w14:textId="77777777" w:rsidR="00A86A9D" w:rsidRDefault="00A86A9D" w:rsidP="00A86A9D">
      <w:pPr>
        <w:jc w:val="both"/>
        <w:rPr>
          <w:rFonts w:cs="Arial"/>
          <w:b/>
          <w:szCs w:val="24"/>
        </w:rPr>
      </w:pPr>
    </w:p>
    <w:p w14:paraId="22A1CA84" w14:textId="77777777" w:rsidR="00A86A9D" w:rsidRPr="004E7140" w:rsidRDefault="004E7140" w:rsidP="00A86A9D">
      <w:pPr>
        <w:rPr>
          <w:rFonts w:cs="Arial"/>
          <w:szCs w:val="24"/>
        </w:rPr>
      </w:pPr>
      <w:r w:rsidRPr="004E7140">
        <w:rPr>
          <w:rFonts w:cs="Arial"/>
          <w:szCs w:val="24"/>
        </w:rPr>
        <w:t>N/A</w:t>
      </w:r>
    </w:p>
    <w:p w14:paraId="22A1CA85" w14:textId="77777777" w:rsidR="00A86A9D" w:rsidRPr="009902FB" w:rsidRDefault="00A86A9D" w:rsidP="00A86A9D">
      <w:pPr>
        <w:rPr>
          <w:rFonts w:cs="Arial"/>
          <w:i/>
          <w:szCs w:val="24"/>
        </w:rPr>
      </w:pPr>
    </w:p>
    <w:p w14:paraId="22A1CA86" w14:textId="77777777" w:rsidR="00A86A9D" w:rsidRPr="006019FE" w:rsidRDefault="00A86A9D" w:rsidP="00A86A9D">
      <w:pPr>
        <w:rPr>
          <w:rFonts w:cs="Arial"/>
          <w:szCs w:val="24"/>
        </w:rPr>
      </w:pPr>
    </w:p>
    <w:p w14:paraId="22A1CA87" w14:textId="77777777" w:rsidR="00A86A9D" w:rsidRDefault="00A86A9D" w:rsidP="00A86A9D">
      <w:pPr>
        <w:rPr>
          <w:rFonts w:cs="Arial"/>
          <w:i/>
          <w:iCs/>
          <w:sz w:val="20"/>
        </w:rPr>
      </w:pPr>
      <w:r w:rsidRPr="006019FE">
        <w:rPr>
          <w:rFonts w:cs="Arial"/>
          <w:b/>
          <w:sz w:val="20"/>
        </w:rPr>
        <w:t>Disclaimer</w:t>
      </w:r>
      <w:r w:rsidRPr="006019FE">
        <w:rPr>
          <w:rFonts w:cs="Arial"/>
          <w:sz w:val="20"/>
        </w:rPr>
        <w:t xml:space="preserve">: </w:t>
      </w:r>
      <w:r w:rsidRPr="006019FE">
        <w:rPr>
          <w:rFonts w:cs="Arial"/>
          <w:i/>
          <w:iCs/>
          <w:sz w:val="20"/>
        </w:rPr>
        <w:t>This doc</w:t>
      </w:r>
      <w:r>
        <w:rPr>
          <w:rFonts w:cs="Arial"/>
          <w:i/>
          <w:iCs/>
          <w:sz w:val="20"/>
        </w:rPr>
        <w:t xml:space="preserve">ument has been developed by ACT </w:t>
      </w:r>
      <w:r w:rsidRPr="006019FE">
        <w:rPr>
          <w:rFonts w:cs="Arial"/>
          <w:i/>
          <w:iCs/>
          <w:sz w:val="20"/>
        </w:rPr>
        <w:t xml:space="preserve">Health, </w:t>
      </w:r>
      <w:r w:rsidR="004E7140">
        <w:rPr>
          <w:rFonts w:cs="Arial"/>
          <w:i/>
          <w:iCs/>
          <w:sz w:val="20"/>
        </w:rPr>
        <w:t>Policy and Government Relations</w:t>
      </w:r>
      <w:r w:rsidRPr="006019FE">
        <w:rPr>
          <w:rFonts w:cs="Arial"/>
          <w:i/>
          <w:iCs/>
          <w:sz w:val="20"/>
        </w:rPr>
        <w:t xml:space="preserve"> specifically for its own use.  Use of this document and any reliance on the information contained therein by any third party is</w:t>
      </w:r>
      <w:r>
        <w:rPr>
          <w:rFonts w:cs="Arial"/>
          <w:i/>
          <w:iCs/>
          <w:sz w:val="20"/>
        </w:rPr>
        <w:t xml:space="preserve"> at his or her own risk and </w:t>
      </w:r>
      <w:r w:rsidRPr="006019FE">
        <w:rPr>
          <w:rFonts w:cs="Arial"/>
          <w:i/>
          <w:iCs/>
          <w:sz w:val="20"/>
        </w:rPr>
        <w:t xml:space="preserve">Health </w:t>
      </w:r>
      <w:r>
        <w:rPr>
          <w:rFonts w:cs="Arial"/>
          <w:i/>
          <w:iCs/>
          <w:sz w:val="20"/>
        </w:rPr>
        <w:t>Directorate</w:t>
      </w:r>
      <w:r w:rsidRPr="006019FE">
        <w:rPr>
          <w:rFonts w:cs="Arial"/>
          <w:i/>
          <w:iCs/>
          <w:sz w:val="20"/>
        </w:rPr>
        <w:t xml:space="preserve"> assumes no responsibility whatsoever.</w:t>
      </w:r>
    </w:p>
    <w:p w14:paraId="22A1CA88" w14:textId="77777777" w:rsidR="006B4402" w:rsidRPr="006019FE" w:rsidRDefault="006B4402" w:rsidP="00A86A9D">
      <w:pPr>
        <w:rPr>
          <w:sz w:val="20"/>
        </w:rPr>
      </w:pPr>
    </w:p>
    <w:p w14:paraId="22A1CA89" w14:textId="77777777" w:rsidR="00FF56DD" w:rsidRDefault="00FF56DD" w:rsidP="00A86A9D">
      <w:pPr>
        <w:rPr>
          <w:szCs w:val="24"/>
        </w:rPr>
      </w:pPr>
    </w:p>
    <w:tbl>
      <w:tblPr>
        <w:tblStyle w:val="TableGrid"/>
        <w:tblW w:w="0" w:type="auto"/>
        <w:tblLook w:val="04A0" w:firstRow="1" w:lastRow="0" w:firstColumn="1" w:lastColumn="0" w:noHBand="0" w:noVBand="1"/>
      </w:tblPr>
      <w:tblGrid>
        <w:gridCol w:w="3095"/>
        <w:gridCol w:w="3095"/>
        <w:gridCol w:w="3096"/>
      </w:tblGrid>
      <w:tr w:rsidR="002F61F7" w:rsidRPr="00A26CF4" w14:paraId="22A1CA8D" w14:textId="77777777" w:rsidTr="002F61F7">
        <w:tc>
          <w:tcPr>
            <w:tcW w:w="3095" w:type="dxa"/>
          </w:tcPr>
          <w:p w14:paraId="22A1CA8A" w14:textId="77777777" w:rsidR="002F61F7" w:rsidRPr="00A26CF4" w:rsidRDefault="002F61F7" w:rsidP="00A86A9D">
            <w:pPr>
              <w:rPr>
                <w:sz w:val="20"/>
                <w:szCs w:val="24"/>
              </w:rPr>
            </w:pPr>
            <w:r w:rsidRPr="00A26CF4">
              <w:rPr>
                <w:sz w:val="20"/>
                <w:szCs w:val="24"/>
              </w:rPr>
              <w:t>Date Amended</w:t>
            </w:r>
          </w:p>
        </w:tc>
        <w:tc>
          <w:tcPr>
            <w:tcW w:w="3095" w:type="dxa"/>
          </w:tcPr>
          <w:p w14:paraId="22A1CA8B" w14:textId="77777777" w:rsidR="002F61F7" w:rsidRPr="00A26CF4" w:rsidRDefault="002F61F7" w:rsidP="00A86A9D">
            <w:pPr>
              <w:rPr>
                <w:sz w:val="20"/>
                <w:szCs w:val="24"/>
              </w:rPr>
            </w:pPr>
            <w:r w:rsidRPr="00A26CF4">
              <w:rPr>
                <w:sz w:val="20"/>
                <w:szCs w:val="24"/>
              </w:rPr>
              <w:t>Section Amended</w:t>
            </w:r>
          </w:p>
        </w:tc>
        <w:tc>
          <w:tcPr>
            <w:tcW w:w="3096" w:type="dxa"/>
          </w:tcPr>
          <w:p w14:paraId="22A1CA8C" w14:textId="77777777" w:rsidR="002F61F7" w:rsidRPr="00A26CF4" w:rsidRDefault="002F61F7" w:rsidP="00A86A9D">
            <w:pPr>
              <w:rPr>
                <w:sz w:val="20"/>
                <w:szCs w:val="24"/>
              </w:rPr>
            </w:pPr>
            <w:r w:rsidRPr="00A26CF4">
              <w:rPr>
                <w:sz w:val="20"/>
                <w:szCs w:val="24"/>
              </w:rPr>
              <w:t>Approved By</w:t>
            </w:r>
          </w:p>
        </w:tc>
      </w:tr>
      <w:tr w:rsidR="002F61F7" w:rsidRPr="00A26CF4" w14:paraId="22A1CA91" w14:textId="77777777" w:rsidTr="002F61F7">
        <w:tc>
          <w:tcPr>
            <w:tcW w:w="3095" w:type="dxa"/>
          </w:tcPr>
          <w:p w14:paraId="22A1CA8E" w14:textId="77777777" w:rsidR="002F61F7" w:rsidRPr="00A26CF4" w:rsidRDefault="002F61F7" w:rsidP="00A86A9D">
            <w:pPr>
              <w:rPr>
                <w:i/>
                <w:sz w:val="20"/>
                <w:szCs w:val="24"/>
              </w:rPr>
            </w:pPr>
            <w:r w:rsidRPr="00A26CF4">
              <w:rPr>
                <w:i/>
                <w:sz w:val="20"/>
                <w:szCs w:val="24"/>
              </w:rPr>
              <w:t>Eg: 17 August 2014</w:t>
            </w:r>
          </w:p>
        </w:tc>
        <w:tc>
          <w:tcPr>
            <w:tcW w:w="3095" w:type="dxa"/>
          </w:tcPr>
          <w:p w14:paraId="22A1CA8F" w14:textId="77777777" w:rsidR="002F61F7" w:rsidRPr="00A26CF4" w:rsidRDefault="002F61F7" w:rsidP="00A86A9D">
            <w:pPr>
              <w:rPr>
                <w:i/>
                <w:sz w:val="20"/>
                <w:szCs w:val="24"/>
              </w:rPr>
            </w:pPr>
            <w:r w:rsidRPr="00A26CF4">
              <w:rPr>
                <w:i/>
                <w:sz w:val="20"/>
                <w:szCs w:val="24"/>
              </w:rPr>
              <w:t>Section 1</w:t>
            </w:r>
          </w:p>
        </w:tc>
        <w:tc>
          <w:tcPr>
            <w:tcW w:w="3096" w:type="dxa"/>
          </w:tcPr>
          <w:p w14:paraId="22A1CA90" w14:textId="77777777" w:rsidR="002F61F7" w:rsidRPr="00A26CF4" w:rsidRDefault="006B4402" w:rsidP="00A86A9D">
            <w:pPr>
              <w:rPr>
                <w:i/>
                <w:sz w:val="20"/>
                <w:szCs w:val="24"/>
              </w:rPr>
            </w:pPr>
            <w:r>
              <w:rPr>
                <w:i/>
                <w:sz w:val="20"/>
                <w:szCs w:val="24"/>
              </w:rPr>
              <w:t>PAC</w:t>
            </w:r>
          </w:p>
        </w:tc>
      </w:tr>
      <w:tr w:rsidR="002F61F7" w:rsidRPr="00A26CF4" w14:paraId="22A1CA95" w14:textId="77777777" w:rsidTr="002F61F7">
        <w:tc>
          <w:tcPr>
            <w:tcW w:w="3095" w:type="dxa"/>
          </w:tcPr>
          <w:p w14:paraId="22A1CA92" w14:textId="77777777" w:rsidR="002F61F7" w:rsidRPr="00A26CF4" w:rsidRDefault="002F61F7" w:rsidP="00A86A9D">
            <w:pPr>
              <w:rPr>
                <w:sz w:val="20"/>
                <w:szCs w:val="24"/>
              </w:rPr>
            </w:pPr>
          </w:p>
        </w:tc>
        <w:tc>
          <w:tcPr>
            <w:tcW w:w="3095" w:type="dxa"/>
          </w:tcPr>
          <w:p w14:paraId="22A1CA93" w14:textId="77777777" w:rsidR="002F61F7" w:rsidRPr="00A26CF4" w:rsidRDefault="002F61F7" w:rsidP="00A86A9D">
            <w:pPr>
              <w:rPr>
                <w:sz w:val="20"/>
                <w:szCs w:val="24"/>
              </w:rPr>
            </w:pPr>
          </w:p>
        </w:tc>
        <w:tc>
          <w:tcPr>
            <w:tcW w:w="3096" w:type="dxa"/>
          </w:tcPr>
          <w:p w14:paraId="22A1CA94" w14:textId="77777777" w:rsidR="002F61F7" w:rsidRPr="00A26CF4" w:rsidRDefault="002F61F7" w:rsidP="00A86A9D">
            <w:pPr>
              <w:rPr>
                <w:sz w:val="20"/>
                <w:szCs w:val="24"/>
              </w:rPr>
            </w:pPr>
          </w:p>
        </w:tc>
      </w:tr>
    </w:tbl>
    <w:p w14:paraId="22A1CA96" w14:textId="77777777" w:rsidR="002F61F7" w:rsidRPr="00A86A9D" w:rsidRDefault="002F61F7" w:rsidP="00A86A9D">
      <w:pPr>
        <w:rPr>
          <w:szCs w:val="24"/>
        </w:rPr>
      </w:pPr>
    </w:p>
    <w:sectPr w:rsidR="002F61F7" w:rsidRPr="00A86A9D" w:rsidSect="002F61F7">
      <w:headerReference w:type="even" r:id="rId12"/>
      <w:headerReference w:type="default" r:id="rId13"/>
      <w:footerReference w:type="even" r:id="rId14"/>
      <w:footerReference w:type="default" r:id="rId15"/>
      <w:headerReference w:type="first" r:id="rId16"/>
      <w:footerReference w:type="first" r:id="rId17"/>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CA99" w14:textId="77777777" w:rsidR="00A26CF4" w:rsidRDefault="00A26CF4" w:rsidP="00F66CB0">
      <w:r>
        <w:separator/>
      </w:r>
    </w:p>
  </w:endnote>
  <w:endnote w:type="continuationSeparator" w:id="0">
    <w:p w14:paraId="22A1CA9A" w14:textId="77777777" w:rsidR="00A26CF4" w:rsidRDefault="00A26CF4"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CAA0" w14:textId="77777777" w:rsidR="005C3C71" w:rsidRDefault="005C3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08"/>
      <w:gridCol w:w="1433"/>
      <w:gridCol w:w="977"/>
      <w:gridCol w:w="1560"/>
      <w:gridCol w:w="1464"/>
      <w:gridCol w:w="1796"/>
      <w:gridCol w:w="1840"/>
      <w:gridCol w:w="108"/>
    </w:tblGrid>
    <w:tr w:rsidR="00A26CF4" w:rsidRPr="00AE7C5C" w14:paraId="22A1CAA7" w14:textId="77777777" w:rsidTr="002F61F7">
      <w:tc>
        <w:tcPr>
          <w:tcW w:w="1541" w:type="dxa"/>
          <w:gridSpan w:val="2"/>
        </w:tcPr>
        <w:p w14:paraId="22A1CAA1" w14:textId="77777777" w:rsidR="00A26CF4" w:rsidRPr="00B3752F" w:rsidRDefault="00A26CF4" w:rsidP="002F61F7">
          <w:pPr>
            <w:pStyle w:val="Footer"/>
            <w:rPr>
              <w:rFonts w:cs="Arial"/>
              <w:b/>
              <w:bCs/>
              <w:i/>
              <w:sz w:val="20"/>
            </w:rPr>
          </w:pPr>
          <w:r w:rsidRPr="00B3752F">
            <w:rPr>
              <w:rFonts w:cs="Arial"/>
              <w:b/>
              <w:bCs/>
              <w:i/>
              <w:sz w:val="20"/>
            </w:rPr>
            <w:t>Doc Number</w:t>
          </w:r>
        </w:p>
      </w:tc>
      <w:tc>
        <w:tcPr>
          <w:tcW w:w="977" w:type="dxa"/>
        </w:tcPr>
        <w:p w14:paraId="22A1CAA2" w14:textId="77777777" w:rsidR="00A26CF4" w:rsidRPr="00B3752F" w:rsidRDefault="00A26CF4" w:rsidP="002F61F7">
          <w:pPr>
            <w:pStyle w:val="Footer"/>
            <w:rPr>
              <w:rFonts w:cs="Arial"/>
              <w:b/>
              <w:bCs/>
              <w:i/>
              <w:sz w:val="20"/>
            </w:rPr>
          </w:pPr>
          <w:r w:rsidRPr="00B3752F">
            <w:rPr>
              <w:rFonts w:cs="Arial"/>
              <w:b/>
              <w:bCs/>
              <w:i/>
              <w:sz w:val="20"/>
            </w:rPr>
            <w:t>Version</w:t>
          </w:r>
        </w:p>
      </w:tc>
      <w:tc>
        <w:tcPr>
          <w:tcW w:w="1560" w:type="dxa"/>
        </w:tcPr>
        <w:p w14:paraId="22A1CAA3" w14:textId="77777777" w:rsidR="00A26CF4" w:rsidRPr="00B3752F" w:rsidRDefault="00A26CF4" w:rsidP="002F61F7">
          <w:pPr>
            <w:pStyle w:val="Footer"/>
            <w:rPr>
              <w:rFonts w:cs="Arial"/>
              <w:b/>
              <w:bCs/>
              <w:i/>
              <w:sz w:val="20"/>
            </w:rPr>
          </w:pPr>
          <w:r w:rsidRPr="00B3752F">
            <w:rPr>
              <w:rFonts w:cs="Arial"/>
              <w:b/>
              <w:bCs/>
              <w:i/>
              <w:sz w:val="20"/>
            </w:rPr>
            <w:t>Issued</w:t>
          </w:r>
        </w:p>
      </w:tc>
      <w:tc>
        <w:tcPr>
          <w:tcW w:w="1464" w:type="dxa"/>
        </w:tcPr>
        <w:p w14:paraId="22A1CAA4" w14:textId="77777777" w:rsidR="00A26CF4" w:rsidRPr="00B3752F" w:rsidRDefault="00A26CF4" w:rsidP="002F61F7">
          <w:pPr>
            <w:pStyle w:val="Footer"/>
            <w:rPr>
              <w:rFonts w:cs="Arial"/>
              <w:b/>
              <w:bCs/>
              <w:i/>
              <w:sz w:val="20"/>
            </w:rPr>
          </w:pPr>
          <w:r w:rsidRPr="00B3752F">
            <w:rPr>
              <w:rFonts w:cs="Arial"/>
              <w:b/>
              <w:bCs/>
              <w:i/>
              <w:sz w:val="20"/>
            </w:rPr>
            <w:t>Review Date</w:t>
          </w:r>
        </w:p>
      </w:tc>
      <w:tc>
        <w:tcPr>
          <w:tcW w:w="1796" w:type="dxa"/>
        </w:tcPr>
        <w:p w14:paraId="22A1CAA5" w14:textId="77777777" w:rsidR="00A26CF4" w:rsidRPr="00B3752F" w:rsidRDefault="00A26CF4" w:rsidP="002F61F7">
          <w:pPr>
            <w:pStyle w:val="Footer"/>
            <w:rPr>
              <w:rFonts w:cs="Arial"/>
              <w:b/>
              <w:bCs/>
              <w:i/>
              <w:sz w:val="20"/>
            </w:rPr>
          </w:pPr>
          <w:r w:rsidRPr="00B3752F">
            <w:rPr>
              <w:rFonts w:cs="Arial"/>
              <w:b/>
              <w:bCs/>
              <w:i/>
              <w:sz w:val="20"/>
            </w:rPr>
            <w:t>Area Responsible</w:t>
          </w:r>
        </w:p>
      </w:tc>
      <w:tc>
        <w:tcPr>
          <w:tcW w:w="1948" w:type="dxa"/>
          <w:gridSpan w:val="2"/>
        </w:tcPr>
        <w:p w14:paraId="22A1CAA6" w14:textId="77777777" w:rsidR="00A26CF4" w:rsidRPr="00B3752F" w:rsidRDefault="00A26CF4" w:rsidP="002F61F7">
          <w:pPr>
            <w:pStyle w:val="Footer"/>
            <w:rPr>
              <w:rFonts w:cs="Arial"/>
              <w:b/>
              <w:bCs/>
              <w:i/>
              <w:sz w:val="20"/>
            </w:rPr>
          </w:pPr>
          <w:r w:rsidRPr="00B3752F">
            <w:rPr>
              <w:rFonts w:cs="Arial"/>
              <w:b/>
              <w:bCs/>
              <w:i/>
              <w:sz w:val="20"/>
            </w:rPr>
            <w:t>Page</w:t>
          </w:r>
        </w:p>
      </w:tc>
    </w:tr>
    <w:tr w:rsidR="00A26CF4" w14:paraId="22A1CAAE" w14:textId="77777777" w:rsidTr="002F61F7">
      <w:tc>
        <w:tcPr>
          <w:tcW w:w="1541" w:type="dxa"/>
          <w:gridSpan w:val="2"/>
        </w:tcPr>
        <w:p w14:paraId="22A1CAA8" w14:textId="77777777" w:rsidR="00A26CF4" w:rsidRPr="00542EE6" w:rsidRDefault="005C3C71" w:rsidP="002F61F7">
          <w:pPr>
            <w:pStyle w:val="Footer"/>
            <w:rPr>
              <w:rFonts w:cs="Arial"/>
              <w:b/>
              <w:bCs/>
              <w:sz w:val="20"/>
            </w:rPr>
          </w:pPr>
          <w:r>
            <w:rPr>
              <w:b/>
              <w:sz w:val="20"/>
            </w:rPr>
            <w:t>DGD 16-018</w:t>
          </w:r>
        </w:p>
      </w:tc>
      <w:tc>
        <w:tcPr>
          <w:tcW w:w="977" w:type="dxa"/>
        </w:tcPr>
        <w:p w14:paraId="22A1CAA9" w14:textId="77777777" w:rsidR="00A26CF4" w:rsidRPr="00B3752F" w:rsidRDefault="0092229A" w:rsidP="002F61F7">
          <w:pPr>
            <w:pStyle w:val="Footer"/>
            <w:rPr>
              <w:rFonts w:cs="Arial"/>
              <w:b/>
              <w:bCs/>
              <w:sz w:val="20"/>
            </w:rPr>
          </w:pPr>
          <w:r>
            <w:rPr>
              <w:rFonts w:cs="Arial"/>
              <w:b/>
              <w:bCs/>
              <w:sz w:val="20"/>
            </w:rPr>
            <w:t>1.0</w:t>
          </w:r>
        </w:p>
      </w:tc>
      <w:tc>
        <w:tcPr>
          <w:tcW w:w="1560" w:type="dxa"/>
        </w:tcPr>
        <w:p w14:paraId="22A1CAAA" w14:textId="77777777" w:rsidR="00A26CF4" w:rsidRPr="00B3752F" w:rsidRDefault="0092229A" w:rsidP="002F61F7">
          <w:pPr>
            <w:pStyle w:val="Footer"/>
            <w:rPr>
              <w:rFonts w:cs="Arial"/>
              <w:b/>
              <w:bCs/>
              <w:sz w:val="20"/>
            </w:rPr>
          </w:pPr>
          <w:r>
            <w:rPr>
              <w:rFonts w:cs="Arial"/>
              <w:b/>
              <w:bCs/>
              <w:sz w:val="20"/>
            </w:rPr>
            <w:t>August 2016</w:t>
          </w:r>
        </w:p>
      </w:tc>
      <w:tc>
        <w:tcPr>
          <w:tcW w:w="1464" w:type="dxa"/>
        </w:tcPr>
        <w:p w14:paraId="22A1CAAB" w14:textId="77777777" w:rsidR="00A26CF4" w:rsidRPr="00B3752F" w:rsidRDefault="004E7140" w:rsidP="002F61F7">
          <w:pPr>
            <w:pStyle w:val="Footer"/>
            <w:rPr>
              <w:rFonts w:cs="Arial"/>
              <w:b/>
              <w:bCs/>
              <w:sz w:val="20"/>
            </w:rPr>
          </w:pPr>
          <w:r>
            <w:rPr>
              <w:rFonts w:cs="Arial"/>
              <w:b/>
              <w:bCs/>
              <w:sz w:val="20"/>
            </w:rPr>
            <w:t>August 2019</w:t>
          </w:r>
          <w:r w:rsidR="00A26CF4">
            <w:rPr>
              <w:rFonts w:cs="Arial"/>
              <w:b/>
              <w:bCs/>
              <w:sz w:val="20"/>
            </w:rPr>
            <w:t xml:space="preserve"> </w:t>
          </w:r>
        </w:p>
      </w:tc>
      <w:tc>
        <w:tcPr>
          <w:tcW w:w="1796" w:type="dxa"/>
        </w:tcPr>
        <w:p w14:paraId="22A1CAAC" w14:textId="77777777" w:rsidR="00A26CF4" w:rsidRPr="00B3752F" w:rsidRDefault="004E7140" w:rsidP="005C3C71">
          <w:pPr>
            <w:pStyle w:val="Footer"/>
            <w:rPr>
              <w:rFonts w:cs="Arial"/>
              <w:b/>
              <w:bCs/>
              <w:sz w:val="20"/>
            </w:rPr>
          </w:pPr>
          <w:r>
            <w:rPr>
              <w:rFonts w:cs="Arial"/>
              <w:b/>
              <w:bCs/>
              <w:sz w:val="20"/>
            </w:rPr>
            <w:t>P&amp;</w:t>
          </w:r>
          <w:r w:rsidR="005C3C71">
            <w:rPr>
              <w:rFonts w:cs="Arial"/>
              <w:b/>
              <w:bCs/>
              <w:sz w:val="20"/>
            </w:rPr>
            <w:t>SR</w:t>
          </w:r>
        </w:p>
      </w:tc>
      <w:tc>
        <w:tcPr>
          <w:tcW w:w="1948" w:type="dxa"/>
          <w:gridSpan w:val="2"/>
        </w:tcPr>
        <w:p w14:paraId="22A1CAAD" w14:textId="77777777" w:rsidR="00A26CF4" w:rsidRPr="00B3752F" w:rsidRDefault="002E2BA8" w:rsidP="002F61F7">
          <w:pPr>
            <w:pStyle w:val="Footer"/>
            <w:rPr>
              <w:sz w:val="20"/>
            </w:rPr>
          </w:pPr>
          <w:r w:rsidRPr="00B3752F">
            <w:rPr>
              <w:rStyle w:val="PageNumber"/>
              <w:sz w:val="20"/>
            </w:rPr>
            <w:fldChar w:fldCharType="begin"/>
          </w:r>
          <w:r w:rsidR="00A26CF4" w:rsidRPr="00B3752F">
            <w:rPr>
              <w:rStyle w:val="PageNumber"/>
              <w:sz w:val="20"/>
            </w:rPr>
            <w:instrText xml:space="preserve"> PAGE </w:instrText>
          </w:r>
          <w:r w:rsidRPr="00B3752F">
            <w:rPr>
              <w:rStyle w:val="PageNumber"/>
              <w:sz w:val="20"/>
            </w:rPr>
            <w:fldChar w:fldCharType="separate"/>
          </w:r>
          <w:r w:rsidR="00920D62">
            <w:rPr>
              <w:rStyle w:val="PageNumber"/>
              <w:noProof/>
              <w:sz w:val="20"/>
            </w:rPr>
            <w:t>1</w:t>
          </w:r>
          <w:r w:rsidRPr="00B3752F">
            <w:rPr>
              <w:rStyle w:val="PageNumber"/>
              <w:sz w:val="20"/>
            </w:rPr>
            <w:fldChar w:fldCharType="end"/>
          </w:r>
          <w:r w:rsidR="00A26CF4" w:rsidRPr="00B3752F">
            <w:rPr>
              <w:rStyle w:val="PageNumber"/>
              <w:sz w:val="20"/>
            </w:rPr>
            <w:t xml:space="preserve"> of </w:t>
          </w:r>
          <w:r w:rsidRPr="00B3752F">
            <w:rPr>
              <w:rStyle w:val="PageNumber"/>
              <w:sz w:val="20"/>
            </w:rPr>
            <w:fldChar w:fldCharType="begin"/>
          </w:r>
          <w:r w:rsidR="00A26CF4" w:rsidRPr="00B3752F">
            <w:rPr>
              <w:rStyle w:val="PageNumber"/>
              <w:sz w:val="20"/>
            </w:rPr>
            <w:instrText xml:space="preserve"> NUMPAGES </w:instrText>
          </w:r>
          <w:r w:rsidRPr="00B3752F">
            <w:rPr>
              <w:rStyle w:val="PageNumber"/>
              <w:sz w:val="20"/>
            </w:rPr>
            <w:fldChar w:fldCharType="separate"/>
          </w:r>
          <w:r w:rsidR="00920D62">
            <w:rPr>
              <w:rStyle w:val="PageNumber"/>
              <w:noProof/>
              <w:sz w:val="20"/>
            </w:rPr>
            <w:t>4</w:t>
          </w:r>
          <w:r w:rsidRPr="00B3752F">
            <w:rPr>
              <w:rStyle w:val="PageNumber"/>
              <w:sz w:val="20"/>
            </w:rPr>
            <w:fldChar w:fldCharType="end"/>
          </w:r>
        </w:p>
      </w:tc>
    </w:tr>
    <w:tr w:rsidR="00920D62" w:rsidRPr="002C1428" w14:paraId="3A076AAF" w14:textId="77777777" w:rsidTr="00184A11">
      <w:trPr>
        <w:gridBefore w:val="1"/>
        <w:gridAfter w:val="1"/>
        <w:wBefore w:w="108" w:type="dxa"/>
        <w:wAfter w:w="108" w:type="dxa"/>
        <w:trHeight w:val="231"/>
      </w:trPr>
      <w:tc>
        <w:tcPr>
          <w:tcW w:w="9070" w:type="dxa"/>
          <w:gridSpan w:val="6"/>
          <w:tcBorders>
            <w:top w:val="single" w:sz="4" w:space="0" w:color="auto"/>
            <w:left w:val="single" w:sz="4" w:space="0" w:color="auto"/>
            <w:bottom w:val="single" w:sz="4" w:space="0" w:color="auto"/>
            <w:right w:val="single" w:sz="4" w:space="0" w:color="auto"/>
          </w:tcBorders>
        </w:tcPr>
        <w:p w14:paraId="43A20786" w14:textId="77777777" w:rsidR="00920D62" w:rsidRPr="002C1428" w:rsidRDefault="00920D62" w:rsidP="00920D62">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22A1CAB0" w14:textId="77777777" w:rsidR="00A26CF4" w:rsidRPr="00AE7C5C" w:rsidRDefault="00A26CF4" w:rsidP="002F61F7">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CAB2" w14:textId="77777777" w:rsidR="005C3C71" w:rsidRDefault="005C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1CA97" w14:textId="77777777" w:rsidR="00A26CF4" w:rsidRDefault="00A26CF4" w:rsidP="00F66CB0">
      <w:r>
        <w:separator/>
      </w:r>
    </w:p>
  </w:footnote>
  <w:footnote w:type="continuationSeparator" w:id="0">
    <w:p w14:paraId="22A1CA98" w14:textId="77777777" w:rsidR="00A26CF4" w:rsidRDefault="00A26CF4" w:rsidP="00F6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CA9B" w14:textId="77777777" w:rsidR="005C3C71" w:rsidRDefault="005C3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730"/>
    </w:tblGrid>
    <w:tr w:rsidR="00A26CF4" w14:paraId="22A1CA9E" w14:textId="77777777" w:rsidTr="006376DC">
      <w:tc>
        <w:tcPr>
          <w:tcW w:w="2556" w:type="dxa"/>
          <w:hideMark/>
        </w:tcPr>
        <w:p w14:paraId="22A1CA9C" w14:textId="77777777" w:rsidR="00A26CF4" w:rsidRDefault="00A26CF4">
          <w:pPr>
            <w:pStyle w:val="Header"/>
            <w:rPr>
              <w:sz w:val="20"/>
            </w:rPr>
          </w:pPr>
          <w:r w:rsidRPr="006376DC">
            <w:rPr>
              <w:noProof/>
              <w:sz w:val="20"/>
            </w:rPr>
            <w:drawing>
              <wp:inline distT="0" distB="0" distL="0" distR="0" wp14:anchorId="22A1CAB3" wp14:editId="22A1CAB4">
                <wp:extent cx="1463040" cy="747395"/>
                <wp:effectExtent l="19050" t="0" r="3810" b="0"/>
                <wp:docPr id="1"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7395"/>
                        </a:xfrm>
                        <a:prstGeom prst="rect">
                          <a:avLst/>
                        </a:prstGeom>
                        <a:noFill/>
                        <a:ln w="9525">
                          <a:noFill/>
                          <a:miter lim="800000"/>
                          <a:headEnd/>
                          <a:tailEnd/>
                        </a:ln>
                      </pic:spPr>
                    </pic:pic>
                  </a:graphicData>
                </a:graphic>
              </wp:inline>
            </w:drawing>
          </w:r>
        </w:p>
      </w:tc>
      <w:tc>
        <w:tcPr>
          <w:tcW w:w="6730" w:type="dxa"/>
          <w:vAlign w:val="center"/>
          <w:hideMark/>
        </w:tcPr>
        <w:p w14:paraId="22A1CA9D" w14:textId="77777777" w:rsidR="00A26CF4" w:rsidRDefault="005C3C71">
          <w:pPr>
            <w:pStyle w:val="Header"/>
            <w:tabs>
              <w:tab w:val="left" w:pos="720"/>
            </w:tabs>
            <w:jc w:val="right"/>
            <w:rPr>
              <w:sz w:val="20"/>
            </w:rPr>
          </w:pPr>
          <w:bookmarkStart w:id="0" w:name="_top"/>
          <w:bookmarkEnd w:id="0"/>
          <w:r>
            <w:rPr>
              <w:sz w:val="20"/>
            </w:rPr>
            <w:t>DGD 16-018</w:t>
          </w:r>
        </w:p>
      </w:tc>
    </w:tr>
  </w:tbl>
  <w:p w14:paraId="22A1CA9F" w14:textId="77777777" w:rsidR="00A26CF4" w:rsidRPr="00FC3538" w:rsidRDefault="00A26CF4">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CAB1" w14:textId="77777777" w:rsidR="005C3C71" w:rsidRDefault="005C3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F3854"/>
    <w:multiLevelType w:val="hybridMultilevel"/>
    <w:tmpl w:val="4EBAC0E4"/>
    <w:lvl w:ilvl="0" w:tplc="0C09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53813F81"/>
    <w:multiLevelType w:val="hybridMultilevel"/>
    <w:tmpl w:val="9146A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7B6904"/>
    <w:rsid w:val="000121C3"/>
    <w:rsid w:val="00015B90"/>
    <w:rsid w:val="0001607A"/>
    <w:rsid w:val="00050A68"/>
    <w:rsid w:val="000B5C8C"/>
    <w:rsid w:val="000C59E2"/>
    <w:rsid w:val="000C7B2D"/>
    <w:rsid w:val="000F7B7E"/>
    <w:rsid w:val="00103EEA"/>
    <w:rsid w:val="00191109"/>
    <w:rsid w:val="001A0053"/>
    <w:rsid w:val="001B2465"/>
    <w:rsid w:val="001F6D2D"/>
    <w:rsid w:val="002365B8"/>
    <w:rsid w:val="00240B97"/>
    <w:rsid w:val="00243AE4"/>
    <w:rsid w:val="0025382D"/>
    <w:rsid w:val="00263BA6"/>
    <w:rsid w:val="0027264D"/>
    <w:rsid w:val="00293E43"/>
    <w:rsid w:val="002B5F43"/>
    <w:rsid w:val="002D311D"/>
    <w:rsid w:val="002D7104"/>
    <w:rsid w:val="002E2BA8"/>
    <w:rsid w:val="002F61F7"/>
    <w:rsid w:val="00313707"/>
    <w:rsid w:val="00376A6D"/>
    <w:rsid w:val="00380B98"/>
    <w:rsid w:val="00396023"/>
    <w:rsid w:val="003B25AE"/>
    <w:rsid w:val="003C4BB5"/>
    <w:rsid w:val="003E4CC0"/>
    <w:rsid w:val="003F3D8F"/>
    <w:rsid w:val="00412CED"/>
    <w:rsid w:val="00427139"/>
    <w:rsid w:val="004358E9"/>
    <w:rsid w:val="00462E67"/>
    <w:rsid w:val="00484385"/>
    <w:rsid w:val="00487DD5"/>
    <w:rsid w:val="004A2E02"/>
    <w:rsid w:val="004B7C43"/>
    <w:rsid w:val="004C2B20"/>
    <w:rsid w:val="004E28AD"/>
    <w:rsid w:val="004E2D2A"/>
    <w:rsid w:val="004E7140"/>
    <w:rsid w:val="004F1D05"/>
    <w:rsid w:val="005149D6"/>
    <w:rsid w:val="0052443C"/>
    <w:rsid w:val="0052775E"/>
    <w:rsid w:val="00542514"/>
    <w:rsid w:val="00546AED"/>
    <w:rsid w:val="005621E4"/>
    <w:rsid w:val="00596FD7"/>
    <w:rsid w:val="005A2C1F"/>
    <w:rsid w:val="005A3625"/>
    <w:rsid w:val="005B4738"/>
    <w:rsid w:val="005B6AEF"/>
    <w:rsid w:val="005C212D"/>
    <w:rsid w:val="005C3C71"/>
    <w:rsid w:val="005C3CB0"/>
    <w:rsid w:val="005F7499"/>
    <w:rsid w:val="00612231"/>
    <w:rsid w:val="00635EB1"/>
    <w:rsid w:val="00636DD9"/>
    <w:rsid w:val="006376DC"/>
    <w:rsid w:val="006473BB"/>
    <w:rsid w:val="0066495D"/>
    <w:rsid w:val="00695EB6"/>
    <w:rsid w:val="006A4D46"/>
    <w:rsid w:val="006A6024"/>
    <w:rsid w:val="006B4402"/>
    <w:rsid w:val="006B740A"/>
    <w:rsid w:val="006C31FF"/>
    <w:rsid w:val="006C5215"/>
    <w:rsid w:val="006C6B6C"/>
    <w:rsid w:val="006C704D"/>
    <w:rsid w:val="006E0DE0"/>
    <w:rsid w:val="006E31CB"/>
    <w:rsid w:val="0070331D"/>
    <w:rsid w:val="00712B30"/>
    <w:rsid w:val="00741B43"/>
    <w:rsid w:val="00756537"/>
    <w:rsid w:val="00761392"/>
    <w:rsid w:val="007A0EBC"/>
    <w:rsid w:val="007A238D"/>
    <w:rsid w:val="007B4ABB"/>
    <w:rsid w:val="007B6904"/>
    <w:rsid w:val="007C0E06"/>
    <w:rsid w:val="00810D42"/>
    <w:rsid w:val="00816782"/>
    <w:rsid w:val="0082141D"/>
    <w:rsid w:val="00827F24"/>
    <w:rsid w:val="00855DA8"/>
    <w:rsid w:val="00886399"/>
    <w:rsid w:val="008974CA"/>
    <w:rsid w:val="008E1F7F"/>
    <w:rsid w:val="008F00E8"/>
    <w:rsid w:val="008F6921"/>
    <w:rsid w:val="00920D62"/>
    <w:rsid w:val="0092229A"/>
    <w:rsid w:val="00933EED"/>
    <w:rsid w:val="00940CDE"/>
    <w:rsid w:val="00942B11"/>
    <w:rsid w:val="00954112"/>
    <w:rsid w:val="0097742A"/>
    <w:rsid w:val="00980EED"/>
    <w:rsid w:val="0098335D"/>
    <w:rsid w:val="00991670"/>
    <w:rsid w:val="009B3F8C"/>
    <w:rsid w:val="009B6C8C"/>
    <w:rsid w:val="009C0FCA"/>
    <w:rsid w:val="009C3963"/>
    <w:rsid w:val="009D323C"/>
    <w:rsid w:val="009E4AED"/>
    <w:rsid w:val="00A26CF4"/>
    <w:rsid w:val="00A35E2D"/>
    <w:rsid w:val="00A74B8A"/>
    <w:rsid w:val="00A85F61"/>
    <w:rsid w:val="00A86A9D"/>
    <w:rsid w:val="00A86DB3"/>
    <w:rsid w:val="00AA25DC"/>
    <w:rsid w:val="00AB4914"/>
    <w:rsid w:val="00B21043"/>
    <w:rsid w:val="00B22595"/>
    <w:rsid w:val="00B44CAC"/>
    <w:rsid w:val="00B573D6"/>
    <w:rsid w:val="00B7783C"/>
    <w:rsid w:val="00B81455"/>
    <w:rsid w:val="00B9627F"/>
    <w:rsid w:val="00BA2415"/>
    <w:rsid w:val="00BA4F95"/>
    <w:rsid w:val="00BB33F9"/>
    <w:rsid w:val="00BC3CE6"/>
    <w:rsid w:val="00BE5E41"/>
    <w:rsid w:val="00C24EDC"/>
    <w:rsid w:val="00C25A76"/>
    <w:rsid w:val="00C32206"/>
    <w:rsid w:val="00C45C67"/>
    <w:rsid w:val="00C46419"/>
    <w:rsid w:val="00C46710"/>
    <w:rsid w:val="00C523FF"/>
    <w:rsid w:val="00C63689"/>
    <w:rsid w:val="00C71C3C"/>
    <w:rsid w:val="00CA593D"/>
    <w:rsid w:val="00D21780"/>
    <w:rsid w:val="00D23346"/>
    <w:rsid w:val="00D243B8"/>
    <w:rsid w:val="00D34794"/>
    <w:rsid w:val="00D4502D"/>
    <w:rsid w:val="00D530CE"/>
    <w:rsid w:val="00D53E3C"/>
    <w:rsid w:val="00D77950"/>
    <w:rsid w:val="00D80114"/>
    <w:rsid w:val="00DC3762"/>
    <w:rsid w:val="00DD616A"/>
    <w:rsid w:val="00DE0465"/>
    <w:rsid w:val="00DF048C"/>
    <w:rsid w:val="00E049ED"/>
    <w:rsid w:val="00E34E6D"/>
    <w:rsid w:val="00E37CD4"/>
    <w:rsid w:val="00E57848"/>
    <w:rsid w:val="00E9072F"/>
    <w:rsid w:val="00E96207"/>
    <w:rsid w:val="00EC6D22"/>
    <w:rsid w:val="00ED21C3"/>
    <w:rsid w:val="00ED388C"/>
    <w:rsid w:val="00EF02B0"/>
    <w:rsid w:val="00F01B61"/>
    <w:rsid w:val="00F0517F"/>
    <w:rsid w:val="00F149FD"/>
    <w:rsid w:val="00F3203D"/>
    <w:rsid w:val="00F4262F"/>
    <w:rsid w:val="00F53719"/>
    <w:rsid w:val="00F56495"/>
    <w:rsid w:val="00F57291"/>
    <w:rsid w:val="00F66CB0"/>
    <w:rsid w:val="00F76C89"/>
    <w:rsid w:val="00FA29B8"/>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A1CA29"/>
  <w15:docId w15:val="{6888C48E-C502-45C3-B204-C6793824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9FE4A1A3A4C9D64597314CB8AAACD486" ma:contentTypeVersion="0" ma:contentTypeDescription="Create a new document." ma:contentTypeScope="" ma:versionID="b00a9be081181d19f16c4bda5d0734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7E109-562D-470C-8B8E-9C15BF8BD209}">
  <ds:schemaRefs>
    <ds:schemaRef ds:uri="office.server.policy"/>
  </ds:schemaRefs>
</ds:datastoreItem>
</file>

<file path=customXml/itemProps2.xml><?xml version="1.0" encoding="utf-8"?>
<ds:datastoreItem xmlns:ds="http://schemas.openxmlformats.org/officeDocument/2006/customXml" ds:itemID="{64C75E68-F551-455E-A05F-DA39BC95CE65}"/>
</file>

<file path=customXml/itemProps3.xml><?xml version="1.0" encoding="utf-8"?>
<ds:datastoreItem xmlns:ds="http://schemas.openxmlformats.org/officeDocument/2006/customXml" ds:itemID="{F0BF058C-E928-43C8-9BF0-43F1BC651431}">
  <ds:schemaRefs>
    <ds:schemaRef ds:uri="http://schemas.openxmlformats.org/package/2006/metadata/core-properties"/>
    <ds:schemaRef ds:uri="http://schemas.microsoft.com/sharepoint/v3"/>
    <ds:schemaRef ds:uri="http://schemas.microsoft.com/sharepoint/v4"/>
    <ds:schemaRef ds:uri="ad9437ca-7db3-4256-b21b-00797742f4b5"/>
    <ds:schemaRef ds:uri="http://www.w3.org/XML/1998/namespace"/>
    <ds:schemaRef ds:uri="http://schemas.microsoft.com/office/2006/documentManagement/types"/>
    <ds:schemaRef ds:uri="http://purl.org/dc/dcmitype/"/>
    <ds:schemaRef ds:uri="http://purl.org/dc/elements/1.1/"/>
    <ds:schemaRef ds:uri="5632a4c9-a5cb-4633-980a-3b3954ee3155"/>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5.xml><?xml version="1.0" encoding="utf-8"?>
<ds:datastoreItem xmlns:ds="http://schemas.openxmlformats.org/officeDocument/2006/customXml" ds:itemID="{B7D12A23-5EDE-4F68-95B0-3929E0ED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Carer and Community Representative Reimbursement Policy</dc:title>
  <dc:subject/>
  <dc:creator>Kerryn Hunter</dc:creator>
  <cp:lastModifiedBy>Dunn, Carolyn (Health)</cp:lastModifiedBy>
  <cp:revision>4</cp:revision>
  <cp:lastPrinted>2016-06-20T00:22:00Z</cp:lastPrinted>
  <dcterms:created xsi:type="dcterms:W3CDTF">2016-08-02T02:28:00Z</dcterms:created>
  <dcterms:modified xsi:type="dcterms:W3CDTF">2018-01-16T04:15:00Z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0x0101009FE4A1A3A4C9D64597314CB8AAACD486</vt:lpwstr>
  </property>
  <property fmtid="{D5CDD505-2E9C-101B-9397-08002B2CF9AE}" pid="3" name="TaxKeyword">
    <vt:lpwstr/>
  </property>
</Properties>
</file>