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7FE" w:rsidRPr="00A43AA8" w:rsidRDefault="00581B97" w:rsidP="004F7E74">
      <w:pPr>
        <w:jc w:val="both"/>
        <w:rPr>
          <w:rFonts w:ascii="Calibri" w:hAnsi="Calibri"/>
          <w:sz w:val="22"/>
          <w:szCs w:val="22"/>
        </w:rPr>
      </w:pPr>
      <w:r>
        <w:rPr>
          <w:rFonts w:ascii="Calibri" w:hAnsi="Calibri"/>
          <w:sz w:val="22"/>
          <w:szCs w:val="22"/>
        </w:rPr>
        <w:t xml:space="preserve">  </w:t>
      </w:r>
    </w:p>
    <w:p w:rsidR="001157FE" w:rsidRDefault="007E21DB" w:rsidP="004F7E74">
      <w:pPr>
        <w:jc w:val="both"/>
        <w:rPr>
          <w:rFonts w:ascii="Calibri" w:hAnsi="Calibri" w:cs="Arial"/>
          <w:b/>
          <w:sz w:val="16"/>
          <w:szCs w:val="16"/>
        </w:rPr>
      </w:pPr>
      <w:r>
        <w:rPr>
          <w:rFonts w:cs="Arial"/>
          <w:noProof/>
          <w:sz w:val="20"/>
          <w:lang w:eastAsia="en-AU"/>
        </w:rPr>
        <w:drawing>
          <wp:inline distT="0" distB="0" distL="0" distR="0">
            <wp:extent cx="1464034" cy="787179"/>
            <wp:effectExtent l="19050" t="0" r="2816" b="0"/>
            <wp:docPr id="2" name="Picture 2" descr="ACTGov_Health_in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_Health_inline_black.jpg"/>
                    <pic:cNvPicPr>
                      <a:picLocks noChangeAspect="1" noChangeArrowheads="1"/>
                    </pic:cNvPicPr>
                  </pic:nvPicPr>
                  <pic:blipFill>
                    <a:blip r:embed="rId12" cstate="print"/>
                    <a:srcRect/>
                    <a:stretch>
                      <a:fillRect/>
                    </a:stretch>
                  </pic:blipFill>
                  <pic:spPr bwMode="auto">
                    <a:xfrm>
                      <a:off x="0" y="0"/>
                      <a:ext cx="1463040" cy="786645"/>
                    </a:xfrm>
                    <a:prstGeom prst="rect">
                      <a:avLst/>
                    </a:prstGeom>
                    <a:noFill/>
                    <a:ln w="9525">
                      <a:noFill/>
                      <a:miter lim="800000"/>
                      <a:headEnd/>
                      <a:tailEnd/>
                    </a:ln>
                  </pic:spPr>
                </pic:pic>
              </a:graphicData>
            </a:graphic>
          </wp:inline>
        </w:drawing>
      </w:r>
    </w:p>
    <w:p w:rsidR="00FC233C" w:rsidRPr="00FC233C" w:rsidRDefault="00FC233C" w:rsidP="004F7E74">
      <w:pPr>
        <w:jc w:val="both"/>
        <w:rPr>
          <w:rFonts w:ascii="Calibri" w:hAnsi="Calibri" w:cs="Arial"/>
          <w:b/>
          <w:sz w:val="16"/>
          <w:szCs w:val="16"/>
        </w:rPr>
      </w:pPr>
    </w:p>
    <w:p w:rsidR="004B5018" w:rsidRDefault="004B5018" w:rsidP="00AE5D1B">
      <w:pPr>
        <w:rPr>
          <w:rFonts w:ascii="Calibri" w:hAnsi="Calibri" w:cs="Arial"/>
          <w:b/>
          <w:sz w:val="36"/>
          <w:szCs w:val="36"/>
        </w:rPr>
      </w:pPr>
      <w:r>
        <w:rPr>
          <w:rFonts w:ascii="Calibri" w:hAnsi="Calibri" w:cs="Arial"/>
          <w:b/>
          <w:sz w:val="36"/>
          <w:szCs w:val="36"/>
        </w:rPr>
        <w:t>Policy</w:t>
      </w:r>
    </w:p>
    <w:p w:rsidR="00790A9D" w:rsidRDefault="00AE5D1B" w:rsidP="00AE5D1B">
      <w:pPr>
        <w:rPr>
          <w:rFonts w:ascii="Calibri" w:hAnsi="Calibri" w:cs="Arial"/>
          <w:b/>
          <w:sz w:val="36"/>
          <w:szCs w:val="36"/>
        </w:rPr>
      </w:pPr>
      <w:r w:rsidRPr="00AE5D1B">
        <w:rPr>
          <w:rFonts w:ascii="Calibri" w:hAnsi="Calibri" w:cs="Arial"/>
          <w:b/>
          <w:sz w:val="36"/>
          <w:szCs w:val="36"/>
        </w:rPr>
        <w:t xml:space="preserve">Senior Medical and Dental Practitioners – </w:t>
      </w:r>
    </w:p>
    <w:p w:rsidR="00AE5D1B" w:rsidRPr="00AE5D1B" w:rsidRDefault="00AE5D1B" w:rsidP="00AE5D1B">
      <w:pPr>
        <w:rPr>
          <w:rFonts w:ascii="Calibri" w:hAnsi="Calibri" w:cs="Arial"/>
          <w:b/>
          <w:sz w:val="36"/>
          <w:szCs w:val="36"/>
        </w:rPr>
      </w:pPr>
      <w:r w:rsidRPr="00AE5D1B">
        <w:rPr>
          <w:rFonts w:ascii="Calibri" w:hAnsi="Calibri" w:cs="Arial"/>
          <w:b/>
          <w:sz w:val="36"/>
          <w:szCs w:val="36"/>
        </w:rPr>
        <w:t>Appoi</w:t>
      </w:r>
      <w:r w:rsidR="004B5018">
        <w:rPr>
          <w:rFonts w:ascii="Calibri" w:hAnsi="Calibri" w:cs="Arial"/>
          <w:b/>
          <w:sz w:val="36"/>
          <w:szCs w:val="36"/>
        </w:rPr>
        <w:t xml:space="preserve">ntment and </w:t>
      </w:r>
      <w:r w:rsidR="006E1809">
        <w:rPr>
          <w:rFonts w:ascii="Calibri" w:hAnsi="Calibri" w:cs="Arial"/>
          <w:b/>
          <w:sz w:val="36"/>
          <w:szCs w:val="36"/>
        </w:rPr>
        <w:t>Credentialing</w:t>
      </w:r>
      <w:r w:rsidR="007E090C">
        <w:rPr>
          <w:rFonts w:ascii="Calibri" w:hAnsi="Calibri" w:cs="Arial"/>
          <w:b/>
          <w:sz w:val="36"/>
          <w:szCs w:val="36"/>
        </w:rPr>
        <w:t xml:space="preserve">  </w:t>
      </w:r>
    </w:p>
    <w:tbl>
      <w:tblPr>
        <w:tblpPr w:leftFromText="180" w:rightFromText="180" w:vertAnchor="text" w:horzAnchor="margin" w:tblpX="108" w:tblpY="181"/>
        <w:tblW w:w="9158" w:type="dxa"/>
        <w:shd w:val="clear" w:color="auto" w:fill="000000"/>
        <w:tblLook w:val="0000"/>
      </w:tblPr>
      <w:tblGrid>
        <w:gridCol w:w="9158"/>
      </w:tblGrid>
      <w:tr w:rsidR="00AE5D1B" w:rsidRPr="001502DF" w:rsidTr="00AE5D1B">
        <w:trPr>
          <w:cantSplit/>
          <w:trHeight w:val="285"/>
        </w:trPr>
        <w:tc>
          <w:tcPr>
            <w:tcW w:w="9158" w:type="dxa"/>
            <w:shd w:val="clear" w:color="auto" w:fill="000000"/>
          </w:tcPr>
          <w:p w:rsidR="00AE5D1B" w:rsidRPr="001502DF" w:rsidRDefault="00AE5D1B" w:rsidP="00AE5D1B">
            <w:pPr>
              <w:spacing w:before="40" w:after="40"/>
              <w:rPr>
                <w:rFonts w:ascii="Calibri" w:hAnsi="Calibri" w:cs="Arial"/>
                <w:b/>
                <w:szCs w:val="24"/>
              </w:rPr>
            </w:pPr>
            <w:r>
              <w:rPr>
                <w:rFonts w:ascii="Calibri" w:hAnsi="Calibri" w:cs="Arial"/>
                <w:b/>
                <w:szCs w:val="24"/>
              </w:rPr>
              <w:t>Policy Statement</w:t>
            </w:r>
          </w:p>
        </w:tc>
      </w:tr>
    </w:tbl>
    <w:p w:rsidR="00AE5D1B" w:rsidRDefault="00AE5D1B" w:rsidP="00B14EB3">
      <w:pPr>
        <w:rPr>
          <w:rFonts w:ascii="Calibri" w:hAnsi="Calibri" w:cs="Arial"/>
          <w:szCs w:val="24"/>
          <w:lang w:eastAsia="en-AU"/>
        </w:rPr>
      </w:pPr>
    </w:p>
    <w:p w:rsidR="00D644E8" w:rsidRPr="00AE5D1B" w:rsidRDefault="006F448A" w:rsidP="00B14EB3">
      <w:pPr>
        <w:rPr>
          <w:rFonts w:ascii="Calibri" w:hAnsi="Calibri" w:cs="CorporateSBQ-Light"/>
          <w:szCs w:val="24"/>
          <w:lang w:eastAsia="en-AU"/>
        </w:rPr>
      </w:pPr>
      <w:r w:rsidRPr="00AE5D1B">
        <w:rPr>
          <w:rFonts w:ascii="Calibri" w:hAnsi="Calibri" w:cs="Arial"/>
          <w:szCs w:val="24"/>
          <w:lang w:eastAsia="en-AU"/>
        </w:rPr>
        <w:t xml:space="preserve">The </w:t>
      </w:r>
      <w:r w:rsidR="00A224C8" w:rsidRPr="00AE5D1B">
        <w:rPr>
          <w:rFonts w:ascii="Calibri" w:hAnsi="Calibri" w:cs="Arial"/>
          <w:szCs w:val="24"/>
          <w:lang w:eastAsia="en-AU"/>
        </w:rPr>
        <w:t xml:space="preserve">ACT Government </w:t>
      </w:r>
      <w:r w:rsidRPr="00AE5D1B">
        <w:rPr>
          <w:rFonts w:ascii="Calibri" w:hAnsi="Calibri" w:cs="Arial"/>
          <w:szCs w:val="24"/>
          <w:lang w:eastAsia="en-AU"/>
        </w:rPr>
        <w:t xml:space="preserve">Health Directorate </w:t>
      </w:r>
      <w:r w:rsidR="00A224C8" w:rsidRPr="00AE5D1B">
        <w:rPr>
          <w:rFonts w:ascii="Calibri" w:hAnsi="Calibri" w:cs="Arial"/>
          <w:szCs w:val="24"/>
          <w:lang w:eastAsia="en-AU"/>
        </w:rPr>
        <w:t xml:space="preserve">(HD) </w:t>
      </w:r>
      <w:r w:rsidRPr="00AE5D1B">
        <w:rPr>
          <w:rFonts w:ascii="Calibri" w:hAnsi="Calibri" w:cs="Arial"/>
          <w:szCs w:val="24"/>
          <w:lang w:eastAsia="en-AU"/>
        </w:rPr>
        <w:t xml:space="preserve">is committed to the delivery of safe, appropriate and high quality medical and dental services. This is achieved through best practice recruitment and appointment procedures, robust </w:t>
      </w:r>
      <w:r w:rsidR="00251FD6">
        <w:rPr>
          <w:rFonts w:ascii="Calibri" w:hAnsi="Calibri" w:cs="Arial"/>
          <w:szCs w:val="24"/>
          <w:lang w:eastAsia="en-AU"/>
        </w:rPr>
        <w:t>credentialing</w:t>
      </w:r>
      <w:r w:rsidRPr="00AE5D1B">
        <w:rPr>
          <w:rFonts w:ascii="Calibri" w:hAnsi="Calibri" w:cs="Arial"/>
          <w:szCs w:val="24"/>
          <w:lang w:eastAsia="en-AU"/>
        </w:rPr>
        <w:t xml:space="preserve"> and defining of scope of clinical practice, regular performance review and routine re-</w:t>
      </w:r>
      <w:r w:rsidR="00251FD6">
        <w:rPr>
          <w:rFonts w:ascii="Calibri" w:hAnsi="Calibri" w:cs="Arial"/>
          <w:szCs w:val="24"/>
          <w:lang w:eastAsia="en-AU"/>
        </w:rPr>
        <w:t>credentialing</w:t>
      </w:r>
      <w:r w:rsidRPr="00AE5D1B">
        <w:rPr>
          <w:rFonts w:ascii="Calibri" w:hAnsi="Calibri" w:cs="Arial"/>
          <w:szCs w:val="24"/>
          <w:lang w:eastAsia="en-AU"/>
        </w:rPr>
        <w:t>.</w:t>
      </w:r>
      <w:r w:rsidR="00552A7E" w:rsidRPr="00AE5D1B">
        <w:rPr>
          <w:rFonts w:ascii="Calibri" w:hAnsi="Calibri" w:cs="Arial"/>
          <w:szCs w:val="24"/>
          <w:lang w:eastAsia="en-AU"/>
        </w:rPr>
        <w:t xml:space="preserve"> A senior medical or dental practitioner </w:t>
      </w:r>
      <w:r w:rsidR="00A224C8" w:rsidRPr="00AE5D1B">
        <w:rPr>
          <w:rFonts w:ascii="Calibri" w:hAnsi="Calibri" w:cs="Arial"/>
          <w:szCs w:val="24"/>
          <w:lang w:eastAsia="en-AU"/>
        </w:rPr>
        <w:t xml:space="preserve">(SMDP) </w:t>
      </w:r>
      <w:r w:rsidR="00552A7E" w:rsidRPr="00AE5D1B">
        <w:rPr>
          <w:rFonts w:ascii="Calibri" w:hAnsi="Calibri" w:cs="Arial"/>
          <w:szCs w:val="24"/>
          <w:lang w:eastAsia="en-AU"/>
        </w:rPr>
        <w:t xml:space="preserve">may not provide specialist medical or dental services without a valid appointment and without </w:t>
      </w:r>
      <w:r w:rsidR="00251FD6">
        <w:rPr>
          <w:rFonts w:ascii="Calibri" w:hAnsi="Calibri" w:cs="Arial"/>
          <w:szCs w:val="24"/>
          <w:lang w:eastAsia="en-AU"/>
        </w:rPr>
        <w:t>credentialing</w:t>
      </w:r>
      <w:r w:rsidR="00552A7E" w:rsidRPr="00AE5D1B">
        <w:rPr>
          <w:rFonts w:ascii="Calibri" w:hAnsi="Calibri" w:cs="Arial"/>
          <w:szCs w:val="24"/>
          <w:lang w:eastAsia="en-AU"/>
        </w:rPr>
        <w:t xml:space="preserve"> and a defined </w:t>
      </w:r>
      <w:r w:rsidR="00C84279" w:rsidRPr="00AE5D1B">
        <w:rPr>
          <w:rFonts w:ascii="Calibri" w:hAnsi="Calibri" w:cs="Arial"/>
          <w:szCs w:val="24"/>
          <w:lang w:eastAsia="en-AU"/>
        </w:rPr>
        <w:t>s</w:t>
      </w:r>
      <w:r w:rsidR="00552A7E" w:rsidRPr="00AE5D1B">
        <w:rPr>
          <w:rFonts w:ascii="Calibri" w:hAnsi="Calibri" w:cs="Arial"/>
          <w:szCs w:val="24"/>
          <w:lang w:eastAsia="en-AU"/>
        </w:rPr>
        <w:t xml:space="preserve">cope of </w:t>
      </w:r>
      <w:r w:rsidR="00C84279" w:rsidRPr="00AE5D1B">
        <w:rPr>
          <w:rFonts w:ascii="Calibri" w:hAnsi="Calibri" w:cs="Arial"/>
          <w:szCs w:val="24"/>
          <w:lang w:eastAsia="en-AU"/>
        </w:rPr>
        <w:t>c</w:t>
      </w:r>
      <w:r w:rsidR="00552A7E" w:rsidRPr="00AE5D1B">
        <w:rPr>
          <w:rFonts w:ascii="Calibri" w:hAnsi="Calibri" w:cs="Arial"/>
          <w:szCs w:val="24"/>
          <w:lang w:eastAsia="en-AU"/>
        </w:rPr>
        <w:t xml:space="preserve">linical </w:t>
      </w:r>
      <w:r w:rsidR="00C84279" w:rsidRPr="00AE5D1B">
        <w:rPr>
          <w:rFonts w:ascii="Calibri" w:hAnsi="Calibri" w:cs="Arial"/>
          <w:szCs w:val="24"/>
          <w:lang w:eastAsia="en-AU"/>
        </w:rPr>
        <w:t>p</w:t>
      </w:r>
      <w:r w:rsidR="00552A7E" w:rsidRPr="00AE5D1B">
        <w:rPr>
          <w:rFonts w:ascii="Calibri" w:hAnsi="Calibri" w:cs="Arial"/>
          <w:szCs w:val="24"/>
          <w:lang w:eastAsia="en-AU"/>
        </w:rPr>
        <w:t>ractice.</w:t>
      </w:r>
    </w:p>
    <w:p w:rsidR="00D55BEC" w:rsidRPr="001C3152" w:rsidRDefault="00D55BEC" w:rsidP="00D55BEC">
      <w:pPr>
        <w:jc w:val="both"/>
        <w:rPr>
          <w:rFonts w:ascii="Calibri" w:hAnsi="Calibri" w:cs="Arial"/>
          <w:b/>
          <w:sz w:val="20"/>
          <w:szCs w:val="24"/>
        </w:rPr>
      </w:pPr>
    </w:p>
    <w:tbl>
      <w:tblPr>
        <w:tblpPr w:leftFromText="180" w:rightFromText="180" w:vertAnchor="text" w:horzAnchor="margin" w:tblpX="108" w:tblpY="181"/>
        <w:tblW w:w="9158" w:type="dxa"/>
        <w:shd w:val="clear" w:color="auto" w:fill="000000"/>
        <w:tblLook w:val="0000"/>
      </w:tblPr>
      <w:tblGrid>
        <w:gridCol w:w="9158"/>
      </w:tblGrid>
      <w:tr w:rsidR="00D55BEC" w:rsidRPr="001502DF" w:rsidTr="00EF609E">
        <w:trPr>
          <w:cantSplit/>
          <w:trHeight w:val="285"/>
        </w:trPr>
        <w:tc>
          <w:tcPr>
            <w:tcW w:w="9158" w:type="dxa"/>
            <w:shd w:val="clear" w:color="auto" w:fill="000000"/>
          </w:tcPr>
          <w:p w:rsidR="00D55BEC" w:rsidRPr="001502DF" w:rsidRDefault="00D55BEC" w:rsidP="00EF609E">
            <w:pPr>
              <w:spacing w:before="40" w:after="40"/>
              <w:rPr>
                <w:rFonts w:ascii="Calibri" w:hAnsi="Calibri" w:cs="Arial"/>
                <w:b/>
                <w:szCs w:val="24"/>
              </w:rPr>
            </w:pPr>
            <w:r>
              <w:rPr>
                <w:rFonts w:ascii="Calibri" w:hAnsi="Calibri" w:cs="Arial"/>
                <w:b/>
                <w:szCs w:val="24"/>
              </w:rPr>
              <w:t>Purpose</w:t>
            </w:r>
          </w:p>
        </w:tc>
      </w:tr>
    </w:tbl>
    <w:p w:rsidR="00D55BEC" w:rsidRDefault="00D55BEC" w:rsidP="00D55BEC">
      <w:pPr>
        <w:rPr>
          <w:rFonts w:ascii="Calibri" w:hAnsi="Calibri" w:cs="Arial"/>
          <w:szCs w:val="24"/>
          <w:lang w:eastAsia="en-AU"/>
        </w:rPr>
      </w:pPr>
    </w:p>
    <w:p w:rsidR="00313197" w:rsidRPr="00AE5D1B" w:rsidRDefault="00042AF0" w:rsidP="00B14EB3">
      <w:pPr>
        <w:pStyle w:val="BodyText3"/>
        <w:spacing w:after="0"/>
        <w:rPr>
          <w:rFonts w:ascii="Calibri" w:hAnsi="Calibri" w:cs="Arial"/>
          <w:sz w:val="24"/>
          <w:szCs w:val="24"/>
        </w:rPr>
      </w:pPr>
      <w:r>
        <w:rPr>
          <w:rFonts w:ascii="Calibri" w:hAnsi="Calibri" w:cs="Arial"/>
          <w:sz w:val="24"/>
          <w:szCs w:val="24"/>
        </w:rPr>
        <w:t>In relation to SMDPs, t</w:t>
      </w:r>
      <w:r w:rsidR="006F448A" w:rsidRPr="00AE5D1B">
        <w:rPr>
          <w:rFonts w:ascii="Calibri" w:hAnsi="Calibri" w:cs="Arial"/>
          <w:sz w:val="24"/>
          <w:szCs w:val="24"/>
        </w:rPr>
        <w:t>his policy outlines the guiding principles and approach to:</w:t>
      </w:r>
    </w:p>
    <w:p w:rsidR="00E45900" w:rsidRDefault="00E45900" w:rsidP="00E45900">
      <w:pPr>
        <w:pStyle w:val="BodyText3"/>
        <w:spacing w:after="0"/>
        <w:rPr>
          <w:rFonts w:ascii="Calibri" w:hAnsi="Calibri" w:cs="Arial"/>
          <w:sz w:val="24"/>
          <w:szCs w:val="24"/>
        </w:rPr>
      </w:pPr>
    </w:p>
    <w:p w:rsidR="00E45900" w:rsidRPr="00E45900" w:rsidRDefault="00042AF0" w:rsidP="005E419B">
      <w:pPr>
        <w:pStyle w:val="BodyText3"/>
        <w:numPr>
          <w:ilvl w:val="0"/>
          <w:numId w:val="25"/>
        </w:numPr>
        <w:spacing w:after="0"/>
        <w:ind w:left="426" w:hanging="426"/>
        <w:rPr>
          <w:rFonts w:ascii="Calibri" w:hAnsi="Calibri" w:cs="Arial"/>
          <w:sz w:val="24"/>
          <w:szCs w:val="24"/>
        </w:rPr>
      </w:pPr>
      <w:r w:rsidRPr="000024F6">
        <w:rPr>
          <w:rFonts w:ascii="Calibri" w:hAnsi="Calibri" w:cs="Arial"/>
          <w:b/>
          <w:sz w:val="24"/>
          <w:szCs w:val="24"/>
        </w:rPr>
        <w:t>Recruitment and Appointment</w:t>
      </w:r>
      <w:r w:rsidR="00E45900">
        <w:rPr>
          <w:rFonts w:ascii="Calibri" w:hAnsi="Calibri" w:cs="Arial"/>
          <w:sz w:val="24"/>
          <w:szCs w:val="24"/>
        </w:rPr>
        <w:br/>
        <w:t>Recruitment and appointment will be in accordance with the requirements of the</w:t>
      </w:r>
      <w:r w:rsidR="00E45900">
        <w:rPr>
          <w:rFonts w:ascii="Calibri" w:hAnsi="Calibri" w:cs="Arial"/>
          <w:sz w:val="24"/>
          <w:szCs w:val="24"/>
        </w:rPr>
        <w:br/>
      </w:r>
      <w:r w:rsidR="00E45900" w:rsidRPr="00E45900">
        <w:rPr>
          <w:rFonts w:ascii="Calibri" w:hAnsi="Calibri" w:cs="Arial"/>
          <w:i/>
          <w:sz w:val="24"/>
          <w:szCs w:val="24"/>
        </w:rPr>
        <w:t xml:space="preserve">Public Sector Management Act 1994 </w:t>
      </w:r>
      <w:r w:rsidR="00E45900" w:rsidRPr="00E45900">
        <w:rPr>
          <w:rFonts w:ascii="Calibri" w:hAnsi="Calibri" w:cs="Arial"/>
          <w:sz w:val="24"/>
          <w:szCs w:val="24"/>
        </w:rPr>
        <w:t>(the PSM Act), Public Sector Management Standards, HD Enterprise Agreements, and HD Policy.</w:t>
      </w:r>
      <w:r w:rsidR="00B2786F">
        <w:rPr>
          <w:rFonts w:ascii="Calibri" w:hAnsi="Calibri" w:cs="Arial"/>
          <w:sz w:val="24"/>
          <w:szCs w:val="24"/>
        </w:rPr>
        <w:br/>
      </w:r>
      <w:r w:rsidR="00B2786F">
        <w:rPr>
          <w:rFonts w:ascii="Calibri" w:hAnsi="Calibri" w:cs="Arial"/>
          <w:sz w:val="24"/>
          <w:szCs w:val="24"/>
        </w:rPr>
        <w:br/>
        <w:t xml:space="preserve">See: Standard Operating Procedure: </w:t>
      </w:r>
      <w:r w:rsidR="00B2786F">
        <w:rPr>
          <w:rFonts w:ascii="Calibri" w:hAnsi="Calibri" w:cs="Arial"/>
          <w:i/>
          <w:sz w:val="24"/>
          <w:szCs w:val="24"/>
        </w:rPr>
        <w:t>Recruitment of Senior Medical and Dental Practitioners.</w:t>
      </w:r>
      <w:r w:rsidR="00B2786F">
        <w:rPr>
          <w:rFonts w:ascii="Calibri" w:hAnsi="Calibri" w:cs="Arial"/>
          <w:sz w:val="24"/>
          <w:szCs w:val="24"/>
        </w:rPr>
        <w:br/>
      </w:r>
      <w:r w:rsidR="00B2786F">
        <w:rPr>
          <w:rFonts w:ascii="Calibri" w:hAnsi="Calibri" w:cs="Arial"/>
          <w:sz w:val="24"/>
          <w:szCs w:val="24"/>
        </w:rPr>
        <w:br/>
      </w:r>
      <w:r w:rsidR="0001247E" w:rsidRPr="00E45900">
        <w:rPr>
          <w:rFonts w:ascii="Calibri" w:hAnsi="Calibri" w:cs="Arial"/>
          <w:sz w:val="24"/>
          <w:szCs w:val="24"/>
        </w:rPr>
        <w:t>The close</w:t>
      </w:r>
      <w:r w:rsidR="00E45900" w:rsidRPr="00E45900">
        <w:rPr>
          <w:rFonts w:ascii="Calibri" w:hAnsi="Calibri" w:cs="Arial"/>
          <w:sz w:val="24"/>
          <w:szCs w:val="24"/>
        </w:rPr>
        <w:t xml:space="preserve"> association</w:t>
      </w:r>
      <w:r w:rsidR="00B2786F">
        <w:rPr>
          <w:rFonts w:ascii="Calibri" w:hAnsi="Calibri" w:cs="Arial"/>
          <w:sz w:val="24"/>
          <w:szCs w:val="24"/>
        </w:rPr>
        <w:t xml:space="preserve"> of the HD</w:t>
      </w:r>
      <w:r w:rsidR="00E45900" w:rsidRPr="00E45900">
        <w:rPr>
          <w:rFonts w:ascii="Calibri" w:hAnsi="Calibri" w:cs="Arial"/>
          <w:sz w:val="24"/>
          <w:szCs w:val="24"/>
        </w:rPr>
        <w:t xml:space="preserve"> with the ANU Medical School requires a robust Clinical Conjoint Appointment Process. All advertisements are to inc</w:t>
      </w:r>
      <w:r w:rsidR="00580244">
        <w:rPr>
          <w:rFonts w:ascii="Calibri" w:hAnsi="Calibri" w:cs="Arial"/>
          <w:sz w:val="24"/>
          <w:szCs w:val="24"/>
        </w:rPr>
        <w:t>lude mention of the Offer of a Conjoint A</w:t>
      </w:r>
      <w:r w:rsidR="00E45900" w:rsidRPr="00E45900">
        <w:rPr>
          <w:rFonts w:ascii="Calibri" w:hAnsi="Calibri" w:cs="Arial"/>
          <w:sz w:val="24"/>
          <w:szCs w:val="24"/>
        </w:rPr>
        <w:t xml:space="preserve">ppointment commensurate with the applicant’s qualifications and experience. (See Attachment </w:t>
      </w:r>
      <w:r w:rsidR="00C02333">
        <w:rPr>
          <w:rFonts w:ascii="Calibri" w:hAnsi="Calibri" w:cs="Arial"/>
          <w:sz w:val="24"/>
          <w:szCs w:val="24"/>
        </w:rPr>
        <w:t>1</w:t>
      </w:r>
      <w:r w:rsidR="00E45900" w:rsidRPr="00E45900">
        <w:rPr>
          <w:rFonts w:ascii="Calibri" w:hAnsi="Calibri" w:cs="Arial"/>
          <w:sz w:val="24"/>
          <w:szCs w:val="24"/>
        </w:rPr>
        <w:t xml:space="preserve"> to the </w:t>
      </w:r>
      <w:r w:rsidR="0001247E">
        <w:rPr>
          <w:rFonts w:ascii="Calibri" w:hAnsi="Calibri" w:cs="Arial"/>
          <w:sz w:val="24"/>
          <w:szCs w:val="24"/>
        </w:rPr>
        <w:t>SOP).</w:t>
      </w:r>
    </w:p>
    <w:p w:rsidR="00A42C39" w:rsidRPr="00A42C39" w:rsidRDefault="00A42C39" w:rsidP="00042AF0">
      <w:pPr>
        <w:pStyle w:val="BodyText3"/>
        <w:spacing w:after="0"/>
        <w:ind w:left="360"/>
        <w:rPr>
          <w:rFonts w:ascii="Calibri" w:hAnsi="Calibri" w:cs="Arial"/>
          <w:sz w:val="24"/>
          <w:szCs w:val="24"/>
        </w:rPr>
      </w:pPr>
    </w:p>
    <w:p w:rsidR="00D86BE8" w:rsidRPr="00A42C39" w:rsidRDefault="00042AF0" w:rsidP="005E419B">
      <w:pPr>
        <w:pStyle w:val="BodyText3"/>
        <w:numPr>
          <w:ilvl w:val="0"/>
          <w:numId w:val="25"/>
        </w:numPr>
        <w:spacing w:after="0"/>
        <w:ind w:left="426" w:hanging="426"/>
        <w:rPr>
          <w:rFonts w:ascii="Calibri" w:hAnsi="Calibri" w:cs="Arial"/>
          <w:sz w:val="24"/>
          <w:szCs w:val="24"/>
        </w:rPr>
      </w:pPr>
      <w:r w:rsidRPr="000024F6">
        <w:rPr>
          <w:rFonts w:ascii="Calibri" w:hAnsi="Calibri" w:cs="Arial"/>
          <w:b/>
          <w:sz w:val="24"/>
          <w:szCs w:val="24"/>
        </w:rPr>
        <w:t xml:space="preserve">Initial </w:t>
      </w:r>
      <w:r w:rsidR="00251FD6">
        <w:rPr>
          <w:rFonts w:ascii="Calibri" w:hAnsi="Calibri" w:cs="Arial"/>
          <w:b/>
          <w:sz w:val="24"/>
          <w:szCs w:val="24"/>
        </w:rPr>
        <w:t>Credentialing</w:t>
      </w:r>
      <w:r w:rsidRPr="000024F6">
        <w:rPr>
          <w:rFonts w:ascii="Calibri" w:hAnsi="Calibri" w:cs="Arial"/>
          <w:b/>
          <w:sz w:val="24"/>
          <w:szCs w:val="24"/>
        </w:rPr>
        <w:t xml:space="preserve"> and Defining of Scope of Clinical P</w:t>
      </w:r>
      <w:r w:rsidR="006F448A" w:rsidRPr="000024F6">
        <w:rPr>
          <w:rFonts w:ascii="Calibri" w:hAnsi="Calibri" w:cs="Arial"/>
          <w:b/>
          <w:sz w:val="24"/>
          <w:szCs w:val="24"/>
        </w:rPr>
        <w:t>ractice</w:t>
      </w:r>
      <w:r w:rsidRPr="000024F6">
        <w:rPr>
          <w:rFonts w:ascii="Calibri" w:hAnsi="Calibri" w:cs="Arial"/>
          <w:b/>
          <w:sz w:val="24"/>
          <w:szCs w:val="24"/>
        </w:rPr>
        <w:br/>
      </w:r>
      <w:r>
        <w:rPr>
          <w:rFonts w:ascii="Calibri" w:hAnsi="Calibri" w:cs="Arial"/>
          <w:sz w:val="24"/>
          <w:szCs w:val="24"/>
        </w:rPr>
        <w:t>The</w:t>
      </w:r>
      <w:r w:rsidRPr="00042AF0">
        <w:rPr>
          <w:rFonts w:ascii="Calibri" w:hAnsi="Calibri" w:cs="Arial"/>
          <w:sz w:val="24"/>
          <w:szCs w:val="24"/>
        </w:rPr>
        <w:t xml:space="preserve"> maintenance of a robust process for </w:t>
      </w:r>
      <w:r>
        <w:rPr>
          <w:rFonts w:ascii="Calibri" w:hAnsi="Calibri" w:cs="Arial"/>
          <w:sz w:val="24"/>
          <w:szCs w:val="24"/>
        </w:rPr>
        <w:t xml:space="preserve">initial </w:t>
      </w:r>
      <w:r w:rsidR="00251FD6">
        <w:rPr>
          <w:rFonts w:ascii="Calibri" w:hAnsi="Calibri" w:cs="Arial"/>
          <w:sz w:val="24"/>
          <w:szCs w:val="24"/>
        </w:rPr>
        <w:t>credentialing</w:t>
      </w:r>
      <w:r w:rsidRPr="00042AF0">
        <w:rPr>
          <w:rFonts w:ascii="Calibri" w:hAnsi="Calibri" w:cs="Arial"/>
          <w:sz w:val="24"/>
          <w:szCs w:val="24"/>
        </w:rPr>
        <w:t xml:space="preserve"> and defining the scope of clinical practice of SMDPs </w:t>
      </w:r>
      <w:r>
        <w:rPr>
          <w:rFonts w:ascii="Calibri" w:hAnsi="Calibri" w:cs="Arial"/>
          <w:sz w:val="24"/>
          <w:szCs w:val="24"/>
        </w:rPr>
        <w:t>is</w:t>
      </w:r>
      <w:r w:rsidRPr="00042AF0">
        <w:rPr>
          <w:rFonts w:ascii="Calibri" w:hAnsi="Calibri" w:cs="Arial"/>
          <w:sz w:val="24"/>
          <w:szCs w:val="24"/>
        </w:rPr>
        <w:t xml:space="preserve"> an essential component in </w:t>
      </w:r>
      <w:r>
        <w:rPr>
          <w:rFonts w:ascii="Calibri" w:hAnsi="Calibri" w:cs="Arial"/>
          <w:sz w:val="24"/>
          <w:szCs w:val="24"/>
        </w:rPr>
        <w:t>HD</w:t>
      </w:r>
      <w:r w:rsidRPr="00042AF0">
        <w:rPr>
          <w:rFonts w:ascii="Calibri" w:hAnsi="Calibri" w:cs="Arial"/>
          <w:sz w:val="24"/>
          <w:szCs w:val="24"/>
        </w:rPr>
        <w:t xml:space="preserve"> management of its relationship with individual practitioners.</w:t>
      </w:r>
      <w:r>
        <w:rPr>
          <w:rFonts w:ascii="Calibri" w:hAnsi="Calibri" w:cs="Arial"/>
          <w:sz w:val="24"/>
          <w:szCs w:val="24"/>
        </w:rPr>
        <w:t xml:space="preserve"> An offer of employment must not be made until the initial process is completed.</w:t>
      </w:r>
      <w:r w:rsidR="0001247E">
        <w:rPr>
          <w:rFonts w:ascii="Calibri" w:hAnsi="Calibri" w:cs="Arial"/>
          <w:sz w:val="24"/>
          <w:szCs w:val="24"/>
        </w:rPr>
        <w:br/>
      </w:r>
      <w:r w:rsidR="0001247E">
        <w:rPr>
          <w:rFonts w:ascii="Calibri" w:hAnsi="Calibri" w:cs="Arial"/>
          <w:sz w:val="24"/>
          <w:szCs w:val="24"/>
        </w:rPr>
        <w:br/>
        <w:t xml:space="preserve">See: Standard Operating Procedure: </w:t>
      </w:r>
      <w:r w:rsidR="00251FD6">
        <w:rPr>
          <w:rFonts w:ascii="Calibri" w:hAnsi="Calibri" w:cs="Arial"/>
          <w:i/>
          <w:sz w:val="24"/>
          <w:szCs w:val="24"/>
        </w:rPr>
        <w:t>Credentialing</w:t>
      </w:r>
      <w:r w:rsidR="0001247E">
        <w:rPr>
          <w:rFonts w:ascii="Calibri" w:hAnsi="Calibri" w:cs="Arial"/>
          <w:i/>
          <w:sz w:val="24"/>
          <w:szCs w:val="24"/>
        </w:rPr>
        <w:t xml:space="preserve"> and Defining the Scope of Clinical Practice for Senior Medical and Dental Practitioners.</w:t>
      </w:r>
      <w:r w:rsidRPr="00042AF0">
        <w:rPr>
          <w:rFonts w:ascii="Calibri" w:hAnsi="Calibri" w:cs="Arial"/>
          <w:sz w:val="24"/>
          <w:szCs w:val="24"/>
        </w:rPr>
        <w:br/>
      </w:r>
    </w:p>
    <w:p w:rsidR="00C02333" w:rsidRDefault="00C02333">
      <w:pPr>
        <w:rPr>
          <w:rFonts w:ascii="Calibri" w:hAnsi="Calibri" w:cs="Arial"/>
          <w:b/>
          <w:szCs w:val="24"/>
        </w:rPr>
      </w:pPr>
      <w:r>
        <w:rPr>
          <w:rFonts w:ascii="Calibri" w:hAnsi="Calibri" w:cs="Arial"/>
          <w:b/>
          <w:szCs w:val="24"/>
        </w:rPr>
        <w:br w:type="page"/>
      </w:r>
    </w:p>
    <w:p w:rsidR="009B3CFA" w:rsidRDefault="009B3CFA">
      <w:pPr>
        <w:rPr>
          <w:rFonts w:ascii="Calibri" w:hAnsi="Calibri" w:cs="Arial"/>
          <w:b/>
          <w:szCs w:val="24"/>
          <w:lang w:eastAsia="en-AU"/>
        </w:rPr>
      </w:pPr>
    </w:p>
    <w:p w:rsidR="00042AF0" w:rsidRPr="00042AF0" w:rsidRDefault="00042AF0" w:rsidP="005E419B">
      <w:pPr>
        <w:pStyle w:val="BodyText3"/>
        <w:numPr>
          <w:ilvl w:val="0"/>
          <w:numId w:val="25"/>
        </w:numPr>
        <w:spacing w:after="0"/>
        <w:ind w:left="426" w:hanging="426"/>
        <w:rPr>
          <w:rFonts w:ascii="Calibri" w:hAnsi="Calibri" w:cs="Arial"/>
          <w:sz w:val="24"/>
          <w:szCs w:val="24"/>
        </w:rPr>
      </w:pPr>
      <w:r w:rsidRPr="000024F6">
        <w:rPr>
          <w:rFonts w:ascii="Calibri" w:hAnsi="Calibri" w:cs="Arial"/>
          <w:b/>
          <w:sz w:val="24"/>
          <w:szCs w:val="24"/>
        </w:rPr>
        <w:t>Ongoing Performance Review</w:t>
      </w:r>
      <w:r>
        <w:rPr>
          <w:rFonts w:ascii="Calibri" w:hAnsi="Calibri" w:cs="Arial"/>
          <w:sz w:val="24"/>
          <w:szCs w:val="24"/>
        </w:rPr>
        <w:br/>
      </w:r>
      <w:r w:rsidRPr="00042AF0">
        <w:rPr>
          <w:rFonts w:ascii="Calibri" w:hAnsi="Calibri" w:cs="Arial"/>
          <w:sz w:val="24"/>
          <w:szCs w:val="24"/>
        </w:rPr>
        <w:t xml:space="preserve">The provision of high quality care to the community is a constantly evolving partnership between the organisation and the SMDP. A regular performance review process </w:t>
      </w:r>
      <w:r w:rsidR="00B2786F">
        <w:rPr>
          <w:rFonts w:ascii="Calibri" w:hAnsi="Calibri" w:cs="Arial"/>
          <w:sz w:val="24"/>
          <w:szCs w:val="24"/>
        </w:rPr>
        <w:t>must be undertaken to provide</w:t>
      </w:r>
      <w:r w:rsidRPr="00042AF0">
        <w:rPr>
          <w:rFonts w:ascii="Calibri" w:hAnsi="Calibri" w:cs="Arial"/>
          <w:sz w:val="24"/>
          <w:szCs w:val="24"/>
        </w:rPr>
        <w:t xml:space="preserve"> an opportunity for the SMDP and line manager to plan for shared initiatives and goals, to expand clinical governance, to examine and utilise available data and to enhance service provision. Every SMDP is to participate in </w:t>
      </w:r>
      <w:r w:rsidR="00985A1D">
        <w:rPr>
          <w:rFonts w:ascii="Calibri" w:hAnsi="Calibri" w:cs="Arial"/>
          <w:sz w:val="24"/>
          <w:szCs w:val="24"/>
        </w:rPr>
        <w:t xml:space="preserve">an </w:t>
      </w:r>
      <w:r w:rsidRPr="00042AF0">
        <w:rPr>
          <w:rFonts w:ascii="Calibri" w:hAnsi="Calibri" w:cs="Arial"/>
          <w:sz w:val="24"/>
          <w:szCs w:val="24"/>
        </w:rPr>
        <w:t xml:space="preserve">annual performance review with their line manager. This process </w:t>
      </w:r>
      <w:r w:rsidR="00B2786F">
        <w:rPr>
          <w:rFonts w:ascii="Calibri" w:hAnsi="Calibri" w:cs="Arial"/>
          <w:sz w:val="24"/>
          <w:szCs w:val="24"/>
        </w:rPr>
        <w:t>informs schedule</w:t>
      </w:r>
      <w:r w:rsidR="000024F6">
        <w:rPr>
          <w:rFonts w:ascii="Calibri" w:hAnsi="Calibri" w:cs="Arial"/>
          <w:sz w:val="24"/>
          <w:szCs w:val="24"/>
        </w:rPr>
        <w:t>d</w:t>
      </w:r>
      <w:r w:rsidR="00B2786F">
        <w:rPr>
          <w:rFonts w:ascii="Calibri" w:hAnsi="Calibri" w:cs="Arial"/>
          <w:sz w:val="24"/>
          <w:szCs w:val="24"/>
        </w:rPr>
        <w:t xml:space="preserve"> re</w:t>
      </w:r>
      <w:r w:rsidR="000024F6">
        <w:rPr>
          <w:rFonts w:ascii="Calibri" w:hAnsi="Calibri" w:cs="Arial"/>
          <w:sz w:val="24"/>
          <w:szCs w:val="24"/>
        </w:rPr>
        <w:t>-</w:t>
      </w:r>
      <w:r w:rsidR="00251FD6">
        <w:rPr>
          <w:rFonts w:ascii="Calibri" w:hAnsi="Calibri" w:cs="Arial"/>
          <w:sz w:val="24"/>
          <w:szCs w:val="24"/>
        </w:rPr>
        <w:t>credentialing</w:t>
      </w:r>
      <w:r w:rsidR="00B2786F">
        <w:rPr>
          <w:rFonts w:ascii="Calibri" w:hAnsi="Calibri" w:cs="Arial"/>
          <w:sz w:val="24"/>
          <w:szCs w:val="24"/>
        </w:rPr>
        <w:t>, at least every three years.</w:t>
      </w:r>
      <w:r w:rsidR="00B2786F">
        <w:rPr>
          <w:rFonts w:ascii="Calibri" w:hAnsi="Calibri" w:cs="Arial"/>
          <w:sz w:val="24"/>
          <w:szCs w:val="24"/>
        </w:rPr>
        <w:br/>
      </w:r>
      <w:r w:rsidRPr="00042AF0">
        <w:rPr>
          <w:rFonts w:ascii="Calibri" w:hAnsi="Calibri" w:cs="Arial"/>
          <w:sz w:val="24"/>
          <w:szCs w:val="24"/>
        </w:rPr>
        <w:t xml:space="preserve"> </w:t>
      </w:r>
    </w:p>
    <w:p w:rsidR="00B2786F" w:rsidRPr="00B2786F" w:rsidRDefault="00B2786F" w:rsidP="005E419B">
      <w:pPr>
        <w:pStyle w:val="BodyText3"/>
        <w:numPr>
          <w:ilvl w:val="0"/>
          <w:numId w:val="25"/>
        </w:numPr>
        <w:spacing w:after="0"/>
        <w:ind w:left="426" w:hanging="426"/>
        <w:rPr>
          <w:rFonts w:ascii="Calibri" w:hAnsi="Calibri" w:cs="Arial"/>
          <w:sz w:val="24"/>
          <w:szCs w:val="24"/>
        </w:rPr>
      </w:pPr>
      <w:r w:rsidRPr="000024F6">
        <w:rPr>
          <w:rFonts w:ascii="Calibri" w:hAnsi="Calibri" w:cs="Arial"/>
          <w:b/>
          <w:sz w:val="24"/>
          <w:szCs w:val="24"/>
        </w:rPr>
        <w:t>S</w:t>
      </w:r>
      <w:r w:rsidR="00B51E93" w:rsidRPr="000024F6">
        <w:rPr>
          <w:rFonts w:ascii="Calibri" w:hAnsi="Calibri" w:cs="Arial"/>
          <w:b/>
          <w:sz w:val="24"/>
          <w:szCs w:val="24"/>
        </w:rPr>
        <w:t>cheduled</w:t>
      </w:r>
      <w:r w:rsidRPr="000024F6">
        <w:rPr>
          <w:rFonts w:ascii="Calibri" w:hAnsi="Calibri" w:cs="Arial"/>
          <w:b/>
          <w:sz w:val="24"/>
          <w:szCs w:val="24"/>
        </w:rPr>
        <w:t xml:space="preserve"> R</w:t>
      </w:r>
      <w:r w:rsidR="006F448A" w:rsidRPr="000024F6">
        <w:rPr>
          <w:rFonts w:ascii="Calibri" w:hAnsi="Calibri" w:cs="Arial"/>
          <w:b/>
          <w:sz w:val="24"/>
          <w:szCs w:val="24"/>
        </w:rPr>
        <w:t>e</w:t>
      </w:r>
      <w:r w:rsidR="00D86BE8" w:rsidRPr="000024F6">
        <w:rPr>
          <w:rFonts w:ascii="Calibri" w:hAnsi="Calibri" w:cs="Arial"/>
          <w:b/>
          <w:sz w:val="24"/>
          <w:szCs w:val="24"/>
        </w:rPr>
        <w:t>-</w:t>
      </w:r>
      <w:r w:rsidR="00251FD6">
        <w:rPr>
          <w:rFonts w:ascii="Calibri" w:hAnsi="Calibri" w:cs="Arial"/>
          <w:b/>
          <w:sz w:val="24"/>
          <w:szCs w:val="24"/>
        </w:rPr>
        <w:t>credentialing</w:t>
      </w:r>
      <w:r w:rsidRPr="000024F6">
        <w:rPr>
          <w:rFonts w:ascii="Calibri" w:hAnsi="Calibri" w:cs="Arial"/>
          <w:b/>
          <w:sz w:val="24"/>
          <w:szCs w:val="24"/>
        </w:rPr>
        <w:t xml:space="preserve"> and Re</w:t>
      </w:r>
      <w:r w:rsidR="000024F6">
        <w:rPr>
          <w:rFonts w:ascii="Calibri" w:hAnsi="Calibri" w:cs="Arial"/>
          <w:b/>
          <w:sz w:val="24"/>
          <w:szCs w:val="24"/>
        </w:rPr>
        <w:t>defining of Scope of Clinical P</w:t>
      </w:r>
      <w:r w:rsidR="00B51E93" w:rsidRPr="000024F6">
        <w:rPr>
          <w:rFonts w:ascii="Calibri" w:hAnsi="Calibri" w:cs="Arial"/>
          <w:b/>
          <w:sz w:val="24"/>
          <w:szCs w:val="24"/>
        </w:rPr>
        <w:t>ractice</w:t>
      </w:r>
      <w:r w:rsidR="006F448A" w:rsidRPr="00042AF0">
        <w:rPr>
          <w:rFonts w:ascii="Calibri" w:hAnsi="Calibri" w:cs="Arial"/>
          <w:sz w:val="24"/>
          <w:szCs w:val="24"/>
        </w:rPr>
        <w:t>.</w:t>
      </w:r>
      <w:r>
        <w:rPr>
          <w:rFonts w:ascii="Calibri" w:hAnsi="Calibri" w:cs="Arial"/>
          <w:sz w:val="24"/>
          <w:szCs w:val="24"/>
        </w:rPr>
        <w:br/>
        <w:t>Must be</w:t>
      </w:r>
      <w:r w:rsidRPr="00B2786F">
        <w:rPr>
          <w:rFonts w:ascii="Calibri" w:hAnsi="Calibri" w:cs="Arial"/>
          <w:sz w:val="24"/>
          <w:szCs w:val="24"/>
        </w:rPr>
        <w:t xml:space="preserve"> completed on a regular and ongoing basis at least once in every 3-year period and at other </w:t>
      </w:r>
      <w:r w:rsidR="0001247E">
        <w:rPr>
          <w:rFonts w:ascii="Calibri" w:hAnsi="Calibri" w:cs="Arial"/>
          <w:sz w:val="24"/>
          <w:szCs w:val="24"/>
        </w:rPr>
        <w:t>times, on an as required basis.</w:t>
      </w:r>
      <w:r w:rsidR="0001247E">
        <w:rPr>
          <w:rFonts w:ascii="Calibri" w:hAnsi="Calibri" w:cs="Arial"/>
          <w:sz w:val="24"/>
          <w:szCs w:val="24"/>
        </w:rPr>
        <w:br/>
      </w:r>
      <w:r w:rsidR="0001247E">
        <w:rPr>
          <w:rFonts w:ascii="Calibri" w:hAnsi="Calibri" w:cs="Arial"/>
          <w:sz w:val="24"/>
          <w:szCs w:val="24"/>
        </w:rPr>
        <w:br/>
        <w:t xml:space="preserve">See: Standard Operating Procedure: </w:t>
      </w:r>
      <w:r w:rsidR="00251FD6">
        <w:rPr>
          <w:rFonts w:ascii="Calibri" w:hAnsi="Calibri" w:cs="Arial"/>
          <w:i/>
          <w:sz w:val="24"/>
          <w:szCs w:val="24"/>
        </w:rPr>
        <w:t>Credentialing</w:t>
      </w:r>
      <w:r w:rsidR="0001247E">
        <w:rPr>
          <w:rFonts w:ascii="Calibri" w:hAnsi="Calibri" w:cs="Arial"/>
          <w:i/>
          <w:sz w:val="24"/>
          <w:szCs w:val="24"/>
        </w:rPr>
        <w:t xml:space="preserve"> and Defining the Scope of Clinical Practice for Senior Medical and Dental Practitioners</w:t>
      </w:r>
    </w:p>
    <w:p w:rsidR="00E45900" w:rsidRDefault="00E45900" w:rsidP="00D55BEC">
      <w:pPr>
        <w:jc w:val="both"/>
        <w:rPr>
          <w:rFonts w:ascii="Calibri" w:hAnsi="Calibri" w:cs="Arial"/>
          <w:b/>
          <w:szCs w:val="24"/>
        </w:rPr>
      </w:pPr>
    </w:p>
    <w:tbl>
      <w:tblPr>
        <w:tblpPr w:leftFromText="180" w:rightFromText="180" w:vertAnchor="text" w:horzAnchor="margin" w:tblpX="108" w:tblpY="181"/>
        <w:tblW w:w="9158" w:type="dxa"/>
        <w:shd w:val="clear" w:color="auto" w:fill="000000"/>
        <w:tblLook w:val="0000"/>
      </w:tblPr>
      <w:tblGrid>
        <w:gridCol w:w="9158"/>
      </w:tblGrid>
      <w:tr w:rsidR="00D55BEC" w:rsidRPr="001502DF" w:rsidTr="00EF609E">
        <w:trPr>
          <w:cantSplit/>
          <w:trHeight w:val="285"/>
        </w:trPr>
        <w:tc>
          <w:tcPr>
            <w:tcW w:w="9158" w:type="dxa"/>
            <w:shd w:val="clear" w:color="auto" w:fill="000000"/>
          </w:tcPr>
          <w:p w:rsidR="00D55BEC" w:rsidRPr="001502DF" w:rsidRDefault="00D55BEC" w:rsidP="00EF609E">
            <w:pPr>
              <w:spacing w:before="40" w:after="40"/>
              <w:rPr>
                <w:rFonts w:ascii="Calibri" w:hAnsi="Calibri" w:cs="Arial"/>
                <w:b/>
                <w:szCs w:val="24"/>
              </w:rPr>
            </w:pPr>
            <w:r>
              <w:rPr>
                <w:rFonts w:ascii="Calibri" w:hAnsi="Calibri" w:cs="Arial"/>
                <w:b/>
                <w:szCs w:val="24"/>
              </w:rPr>
              <w:t>Scope</w:t>
            </w:r>
          </w:p>
        </w:tc>
      </w:tr>
    </w:tbl>
    <w:p w:rsidR="00D55BEC" w:rsidRDefault="00D55BEC" w:rsidP="00D55BEC">
      <w:pPr>
        <w:rPr>
          <w:rFonts w:ascii="Calibri" w:hAnsi="Calibri" w:cs="Arial"/>
          <w:szCs w:val="24"/>
          <w:lang w:eastAsia="en-AU"/>
        </w:rPr>
      </w:pPr>
    </w:p>
    <w:p w:rsidR="004F7E74" w:rsidRPr="00AE5D1B" w:rsidRDefault="006F448A" w:rsidP="00B14EB3">
      <w:pPr>
        <w:pStyle w:val="BodyText3"/>
        <w:spacing w:after="0"/>
        <w:rPr>
          <w:rFonts w:ascii="Calibri" w:hAnsi="Calibri" w:cs="CorporateSBQ-Light"/>
          <w:sz w:val="24"/>
          <w:szCs w:val="24"/>
        </w:rPr>
      </w:pPr>
      <w:r w:rsidRPr="00AE5D1B">
        <w:rPr>
          <w:rFonts w:ascii="Calibri" w:hAnsi="Calibri" w:cs="CorporateSBQ-Light"/>
          <w:sz w:val="24"/>
          <w:szCs w:val="24"/>
        </w:rPr>
        <w:t xml:space="preserve">This policy applies to SMDPs in ACT public health </w:t>
      </w:r>
      <w:r w:rsidR="00D86BE8">
        <w:rPr>
          <w:rFonts w:ascii="Calibri" w:hAnsi="Calibri" w:cs="CorporateSBQ-Light"/>
          <w:sz w:val="24"/>
          <w:szCs w:val="24"/>
        </w:rPr>
        <w:t xml:space="preserve">care </w:t>
      </w:r>
      <w:r w:rsidRPr="00AE5D1B">
        <w:rPr>
          <w:rFonts w:ascii="Calibri" w:hAnsi="Calibri" w:cs="CorporateSBQ-Light"/>
          <w:sz w:val="24"/>
          <w:szCs w:val="24"/>
        </w:rPr>
        <w:t xml:space="preserve">facilities operated by either the </w:t>
      </w:r>
      <w:r w:rsidR="00A224C8" w:rsidRPr="00AE5D1B">
        <w:rPr>
          <w:rFonts w:ascii="Calibri" w:hAnsi="Calibri" w:cs="CorporateSBQ-Light"/>
          <w:sz w:val="24"/>
          <w:szCs w:val="24"/>
        </w:rPr>
        <w:t>HD</w:t>
      </w:r>
      <w:r w:rsidRPr="00AE5D1B">
        <w:rPr>
          <w:rFonts w:ascii="Calibri" w:hAnsi="Calibri" w:cs="CorporateSBQ-Light"/>
          <w:sz w:val="24"/>
          <w:szCs w:val="24"/>
        </w:rPr>
        <w:t xml:space="preserve"> or</w:t>
      </w:r>
      <w:r w:rsidR="00D86BE8">
        <w:rPr>
          <w:rFonts w:ascii="Calibri" w:hAnsi="Calibri" w:cs="CorporateSBQ-Light"/>
          <w:sz w:val="24"/>
          <w:szCs w:val="24"/>
        </w:rPr>
        <w:t xml:space="preserve"> </w:t>
      </w:r>
      <w:r w:rsidR="00A42C39">
        <w:rPr>
          <w:rFonts w:ascii="Calibri" w:hAnsi="Calibri" w:cs="CorporateSBQ-Light"/>
          <w:sz w:val="24"/>
          <w:szCs w:val="24"/>
        </w:rPr>
        <w:t xml:space="preserve">by </w:t>
      </w:r>
      <w:r w:rsidR="00A42C39" w:rsidRPr="00AE5D1B">
        <w:rPr>
          <w:rFonts w:ascii="Calibri" w:hAnsi="Calibri" w:cs="CorporateSBQ-Light"/>
          <w:sz w:val="24"/>
          <w:szCs w:val="24"/>
        </w:rPr>
        <w:t>Calvary</w:t>
      </w:r>
      <w:r w:rsidRPr="00AE5D1B">
        <w:rPr>
          <w:rFonts w:ascii="Calibri" w:hAnsi="Calibri" w:cs="CorporateSBQ-Light"/>
          <w:sz w:val="24"/>
          <w:szCs w:val="24"/>
        </w:rPr>
        <w:t xml:space="preserve"> Health Care ACT</w:t>
      </w:r>
      <w:r w:rsidR="00D86BE8">
        <w:rPr>
          <w:rFonts w:ascii="Calibri" w:hAnsi="Calibri" w:cs="CorporateSBQ-Light"/>
          <w:sz w:val="24"/>
          <w:szCs w:val="24"/>
        </w:rPr>
        <w:t xml:space="preserve"> (Calvary)</w:t>
      </w:r>
      <w:r w:rsidRPr="00AE5D1B">
        <w:rPr>
          <w:rFonts w:ascii="Calibri" w:hAnsi="Calibri" w:cs="CorporateSBQ-Light"/>
          <w:sz w:val="24"/>
          <w:szCs w:val="24"/>
        </w:rPr>
        <w:t>. The policy covers all appointments, whether permanent, fixed term contract, honorary or locum.</w:t>
      </w:r>
    </w:p>
    <w:p w:rsidR="004F7E74" w:rsidRPr="00AE5D1B" w:rsidRDefault="004F7E74" w:rsidP="00B14EB3">
      <w:pPr>
        <w:pStyle w:val="BodyText3"/>
        <w:spacing w:after="0"/>
        <w:rPr>
          <w:rFonts w:ascii="Calibri" w:hAnsi="Calibri" w:cs="CorporateSBQ-Light"/>
          <w:sz w:val="20"/>
          <w:szCs w:val="24"/>
        </w:rPr>
      </w:pPr>
    </w:p>
    <w:p w:rsidR="00FC104B" w:rsidRPr="00AE5D1B" w:rsidRDefault="00FC104B" w:rsidP="00B14EB3">
      <w:pPr>
        <w:rPr>
          <w:rFonts w:ascii="Calibri" w:hAnsi="Calibri" w:cs="CorporateSBQ-Light"/>
        </w:rPr>
      </w:pPr>
      <w:r w:rsidRPr="00AE5D1B">
        <w:rPr>
          <w:rFonts w:ascii="Calibri" w:hAnsi="Calibri" w:cs="CorporateSBQ-Light"/>
        </w:rPr>
        <w:t>This policy does not apply to:</w:t>
      </w:r>
    </w:p>
    <w:p w:rsidR="004F7E74" w:rsidRPr="00AE5D1B" w:rsidRDefault="004F7E74" w:rsidP="005E419B">
      <w:pPr>
        <w:pStyle w:val="ListParagraph"/>
        <w:numPr>
          <w:ilvl w:val="0"/>
          <w:numId w:val="16"/>
        </w:numPr>
        <w:tabs>
          <w:tab w:val="left" w:pos="426"/>
        </w:tabs>
        <w:ind w:left="426" w:hanging="426"/>
        <w:rPr>
          <w:rFonts w:ascii="Calibri" w:hAnsi="Calibri" w:cs="CorporateSBQ-Light"/>
        </w:rPr>
      </w:pPr>
      <w:r w:rsidRPr="00AE5D1B">
        <w:rPr>
          <w:rFonts w:ascii="Calibri" w:hAnsi="Calibri" w:cs="CorporateSBQ-Light"/>
        </w:rPr>
        <w:t xml:space="preserve">doctors </w:t>
      </w:r>
      <w:r w:rsidR="007C0B71" w:rsidRPr="00AE5D1B">
        <w:rPr>
          <w:rFonts w:ascii="Calibri" w:hAnsi="Calibri" w:cs="CorporateSBQ-Light"/>
        </w:rPr>
        <w:t xml:space="preserve">working </w:t>
      </w:r>
      <w:r w:rsidRPr="00AE5D1B">
        <w:rPr>
          <w:rFonts w:ascii="Calibri" w:hAnsi="Calibri" w:cs="CorporateSBQ-Light"/>
        </w:rPr>
        <w:t>a</w:t>
      </w:r>
      <w:r w:rsidR="006F448A" w:rsidRPr="00AE5D1B">
        <w:rPr>
          <w:rFonts w:ascii="Calibri" w:hAnsi="Calibri" w:cs="CorporateSBQ-Light"/>
        </w:rPr>
        <w:t>s</w:t>
      </w:r>
      <w:r w:rsidRPr="00AE5D1B">
        <w:rPr>
          <w:rFonts w:ascii="Calibri" w:hAnsi="Calibri" w:cs="CorporateSBQ-Light"/>
        </w:rPr>
        <w:t xml:space="preserve"> an </w:t>
      </w:r>
      <w:r w:rsidR="006F448A" w:rsidRPr="00AE5D1B">
        <w:rPr>
          <w:rFonts w:ascii="Calibri" w:hAnsi="Calibri" w:cs="CorporateSBQ-Light"/>
        </w:rPr>
        <w:t>i</w:t>
      </w:r>
      <w:r w:rsidRPr="00AE5D1B">
        <w:rPr>
          <w:rFonts w:ascii="Calibri" w:hAnsi="Calibri" w:cs="CorporateSBQ-Light"/>
        </w:rPr>
        <w:t xml:space="preserve">ntern, </w:t>
      </w:r>
      <w:r w:rsidR="006F448A" w:rsidRPr="00AE5D1B">
        <w:rPr>
          <w:rFonts w:ascii="Calibri" w:hAnsi="Calibri" w:cs="CorporateSBQ-Light"/>
        </w:rPr>
        <w:t>r</w:t>
      </w:r>
      <w:r w:rsidRPr="00AE5D1B">
        <w:rPr>
          <w:rFonts w:ascii="Calibri" w:hAnsi="Calibri" w:cs="CorporateSBQ-Light"/>
        </w:rPr>
        <w:t xml:space="preserve">esident </w:t>
      </w:r>
      <w:r w:rsidR="006F448A" w:rsidRPr="00AE5D1B">
        <w:rPr>
          <w:rFonts w:ascii="Calibri" w:hAnsi="Calibri" w:cs="CorporateSBQ-Light"/>
        </w:rPr>
        <w:t>m</w:t>
      </w:r>
      <w:r w:rsidRPr="00AE5D1B">
        <w:rPr>
          <w:rFonts w:ascii="Calibri" w:hAnsi="Calibri" w:cs="CorporateSBQ-Light"/>
        </w:rPr>
        <w:t xml:space="preserve">edical </w:t>
      </w:r>
      <w:r w:rsidR="006F448A" w:rsidRPr="00AE5D1B">
        <w:rPr>
          <w:rFonts w:ascii="Calibri" w:hAnsi="Calibri" w:cs="CorporateSBQ-Light"/>
        </w:rPr>
        <w:t>o</w:t>
      </w:r>
      <w:r w:rsidRPr="00AE5D1B">
        <w:rPr>
          <w:rFonts w:ascii="Calibri" w:hAnsi="Calibri" w:cs="CorporateSBQ-Light"/>
        </w:rPr>
        <w:t xml:space="preserve">fficer, </w:t>
      </w:r>
      <w:r w:rsidR="006F448A" w:rsidRPr="00AE5D1B">
        <w:rPr>
          <w:rFonts w:ascii="Calibri" w:hAnsi="Calibri" w:cs="CorporateSBQ-Light"/>
        </w:rPr>
        <w:t>r</w:t>
      </w:r>
      <w:r w:rsidRPr="00AE5D1B">
        <w:rPr>
          <w:rFonts w:ascii="Calibri" w:hAnsi="Calibri" w:cs="CorporateSBQ-Light"/>
        </w:rPr>
        <w:t xml:space="preserve">egistrar, </w:t>
      </w:r>
      <w:r w:rsidR="006F448A" w:rsidRPr="00AE5D1B">
        <w:rPr>
          <w:rFonts w:ascii="Calibri" w:hAnsi="Calibri" w:cs="CorporateSBQ-Light"/>
        </w:rPr>
        <w:t>s</w:t>
      </w:r>
      <w:r w:rsidRPr="00AE5D1B">
        <w:rPr>
          <w:rFonts w:ascii="Calibri" w:hAnsi="Calibri" w:cs="CorporateSBQ-Light"/>
        </w:rPr>
        <w:t xml:space="preserve">enior </w:t>
      </w:r>
      <w:r w:rsidR="006F448A" w:rsidRPr="00AE5D1B">
        <w:rPr>
          <w:rFonts w:ascii="Calibri" w:hAnsi="Calibri" w:cs="CorporateSBQ-Light"/>
        </w:rPr>
        <w:t>r</w:t>
      </w:r>
      <w:r w:rsidRPr="00AE5D1B">
        <w:rPr>
          <w:rFonts w:ascii="Calibri" w:hAnsi="Calibri" w:cs="CorporateSBQ-Light"/>
        </w:rPr>
        <w:t xml:space="preserve">egistrar, </w:t>
      </w:r>
      <w:r w:rsidR="006F448A" w:rsidRPr="00AE5D1B">
        <w:rPr>
          <w:rFonts w:ascii="Calibri" w:hAnsi="Calibri" w:cs="CorporateSBQ-Light"/>
        </w:rPr>
        <w:t>c</w:t>
      </w:r>
      <w:r w:rsidRPr="00AE5D1B">
        <w:rPr>
          <w:rFonts w:ascii="Calibri" w:hAnsi="Calibri" w:cs="CorporateSBQ-Light"/>
        </w:rPr>
        <w:t xml:space="preserve">areer </w:t>
      </w:r>
      <w:r w:rsidR="006F448A" w:rsidRPr="00AE5D1B">
        <w:rPr>
          <w:rFonts w:ascii="Calibri" w:hAnsi="Calibri" w:cs="CorporateSBQ-Light"/>
        </w:rPr>
        <w:t>m</w:t>
      </w:r>
      <w:r w:rsidRPr="00AE5D1B">
        <w:rPr>
          <w:rFonts w:ascii="Calibri" w:hAnsi="Calibri" w:cs="CorporateSBQ-Light"/>
        </w:rPr>
        <w:t xml:space="preserve">edical </w:t>
      </w:r>
      <w:r w:rsidR="006F448A" w:rsidRPr="00AE5D1B">
        <w:rPr>
          <w:rFonts w:ascii="Calibri" w:hAnsi="Calibri" w:cs="CorporateSBQ-Light"/>
        </w:rPr>
        <w:t>o</w:t>
      </w:r>
      <w:r w:rsidRPr="00AE5D1B">
        <w:rPr>
          <w:rFonts w:ascii="Calibri" w:hAnsi="Calibri" w:cs="CorporateSBQ-Light"/>
        </w:rPr>
        <w:t xml:space="preserve">fficer </w:t>
      </w:r>
      <w:r w:rsidR="008A0FBF" w:rsidRPr="00AE5D1B">
        <w:rPr>
          <w:rFonts w:ascii="Calibri" w:hAnsi="Calibri" w:cs="CorporateSBQ-Light"/>
        </w:rPr>
        <w:t xml:space="preserve">(CMO) </w:t>
      </w:r>
      <w:r w:rsidRPr="00AE5D1B">
        <w:rPr>
          <w:rFonts w:ascii="Calibri" w:hAnsi="Calibri" w:cs="CorporateSBQ-Light"/>
        </w:rPr>
        <w:t>or Fellow</w:t>
      </w:r>
      <w:r w:rsidR="007C0B71" w:rsidRPr="00AE5D1B">
        <w:rPr>
          <w:rFonts w:ascii="Calibri" w:hAnsi="Calibri" w:cs="CorporateSBQ-Light"/>
        </w:rPr>
        <w:t>; and</w:t>
      </w:r>
      <w:r w:rsidRPr="00AE5D1B">
        <w:rPr>
          <w:rFonts w:ascii="Calibri" w:hAnsi="Calibri" w:cs="CorporateSBQ-Light"/>
        </w:rPr>
        <w:t xml:space="preserve"> </w:t>
      </w:r>
    </w:p>
    <w:p w:rsidR="00FC104B" w:rsidRPr="00AE5D1B" w:rsidRDefault="00FC104B" w:rsidP="005E419B">
      <w:pPr>
        <w:pStyle w:val="ListParagraph"/>
        <w:numPr>
          <w:ilvl w:val="0"/>
          <w:numId w:val="16"/>
        </w:numPr>
        <w:tabs>
          <w:tab w:val="left" w:pos="426"/>
        </w:tabs>
        <w:ind w:left="426" w:hanging="426"/>
        <w:rPr>
          <w:rFonts w:ascii="Calibri" w:hAnsi="Calibri" w:cs="CorporateSBQ-Light"/>
        </w:rPr>
      </w:pPr>
      <w:r w:rsidRPr="00AE5D1B">
        <w:rPr>
          <w:rFonts w:ascii="Calibri" w:hAnsi="Calibri" w:cs="CorporateSBQ-Light"/>
        </w:rPr>
        <w:t>dental and medical studen</w:t>
      </w:r>
      <w:r w:rsidR="007C0B71" w:rsidRPr="00AE5D1B">
        <w:rPr>
          <w:rFonts w:ascii="Calibri" w:hAnsi="Calibri" w:cs="CorporateSBQ-Light"/>
        </w:rPr>
        <w:t>ts practising under supervision.</w:t>
      </w:r>
    </w:p>
    <w:p w:rsidR="007C0B71" w:rsidRPr="00AE5D1B" w:rsidRDefault="007C0B71" w:rsidP="00B14EB3">
      <w:pPr>
        <w:rPr>
          <w:rFonts w:ascii="Calibri" w:hAnsi="Calibri" w:cs="CorporateSBQ-Light"/>
          <w:sz w:val="20"/>
        </w:rPr>
      </w:pPr>
    </w:p>
    <w:p w:rsidR="00FC104B" w:rsidRPr="00AE5D1B" w:rsidRDefault="007C0B71" w:rsidP="00B14EB3">
      <w:pPr>
        <w:rPr>
          <w:rFonts w:ascii="Calibri" w:hAnsi="Calibri" w:cs="CorporateSBQ-Light"/>
        </w:rPr>
      </w:pPr>
      <w:r w:rsidRPr="00AE5D1B">
        <w:rPr>
          <w:rFonts w:ascii="Calibri" w:hAnsi="Calibri" w:cs="CorporateSBQ-Light"/>
        </w:rPr>
        <w:t>W</w:t>
      </w:r>
      <w:r w:rsidR="00FC104B" w:rsidRPr="00AE5D1B">
        <w:rPr>
          <w:rFonts w:ascii="Calibri" w:hAnsi="Calibri" w:cs="CorporateSBQ-Light"/>
        </w:rPr>
        <w:t>her</w:t>
      </w:r>
      <w:r w:rsidR="00D86BE8">
        <w:rPr>
          <w:rFonts w:ascii="Calibri" w:hAnsi="Calibri" w:cs="CorporateSBQ-Light"/>
        </w:rPr>
        <w:t>e a practitioner’s research and/</w:t>
      </w:r>
      <w:r w:rsidR="00FC104B" w:rsidRPr="00AE5D1B">
        <w:rPr>
          <w:rFonts w:ascii="Calibri" w:hAnsi="Calibri" w:cs="CorporateSBQ-Light"/>
        </w:rPr>
        <w:t>or teaching involve no patient contact or responsibility, there is no requirement for the practitioner (researcher) to have a scope of clinical practice</w:t>
      </w:r>
      <w:r w:rsidRPr="00AE5D1B">
        <w:rPr>
          <w:rFonts w:ascii="Calibri" w:hAnsi="Calibri" w:cs="CorporateSBQ-Light"/>
        </w:rPr>
        <w:t>.  P</w:t>
      </w:r>
      <w:r w:rsidR="00FC104B" w:rsidRPr="00AE5D1B">
        <w:rPr>
          <w:rFonts w:ascii="Calibri" w:hAnsi="Calibri" w:cs="CorporateSBQ-Light"/>
        </w:rPr>
        <w:t>ractitioners, either taking exams or examining, are not required to have a scope of clinical practice at a public health facility in which the examination takes place.</w:t>
      </w:r>
    </w:p>
    <w:p w:rsidR="007C0B71" w:rsidRPr="00AE5D1B" w:rsidRDefault="007C0B71" w:rsidP="00B14EB3">
      <w:pPr>
        <w:rPr>
          <w:rFonts w:ascii="Calibri" w:hAnsi="Calibri" w:cs="CorporateSBQ-Light"/>
          <w:sz w:val="20"/>
        </w:rPr>
      </w:pPr>
    </w:p>
    <w:p w:rsidR="006F448A" w:rsidRPr="00EF609E" w:rsidRDefault="007C0B71" w:rsidP="00B14EB3">
      <w:pPr>
        <w:rPr>
          <w:rFonts w:asciiTheme="minorHAnsi" w:hAnsiTheme="minorHAnsi" w:cstheme="minorHAnsi"/>
          <w:szCs w:val="22"/>
        </w:rPr>
      </w:pPr>
      <w:r w:rsidRPr="00AE5D1B">
        <w:rPr>
          <w:rFonts w:ascii="Calibri" w:hAnsi="Calibri" w:cs="CorporateSBQ-Light"/>
        </w:rPr>
        <w:t xml:space="preserve">A small number of CMOs hold formally defined scope of clinical practice, as defined under the </w:t>
      </w:r>
      <w:r w:rsidR="00EF609E">
        <w:rPr>
          <w:rFonts w:asciiTheme="minorHAnsi" w:hAnsiTheme="minorHAnsi" w:cstheme="minorHAnsi"/>
          <w:i/>
          <w:szCs w:val="22"/>
        </w:rPr>
        <w:t>Health Act 1993</w:t>
      </w:r>
      <w:r w:rsidR="00211502">
        <w:rPr>
          <w:rFonts w:asciiTheme="minorHAnsi" w:hAnsiTheme="minorHAnsi" w:cstheme="minorHAnsi"/>
          <w:i/>
          <w:szCs w:val="22"/>
        </w:rPr>
        <w:t xml:space="preserve"> ACT (</w:t>
      </w:r>
      <w:r w:rsidR="00EF609E">
        <w:rPr>
          <w:rFonts w:asciiTheme="minorHAnsi" w:hAnsiTheme="minorHAnsi" w:cstheme="minorHAnsi"/>
          <w:szCs w:val="22"/>
        </w:rPr>
        <w:t xml:space="preserve">the Health Act) </w:t>
      </w:r>
      <w:r w:rsidRPr="00AE5D1B">
        <w:rPr>
          <w:rFonts w:ascii="Calibri" w:hAnsi="Calibri" w:cs="CorporateSBQ-Light"/>
        </w:rPr>
        <w:t>and granted prior to January 2009. These CMOs participate in the routine re-</w:t>
      </w:r>
      <w:r w:rsidR="00251FD6">
        <w:rPr>
          <w:rFonts w:ascii="Calibri" w:hAnsi="Calibri" w:cs="CorporateSBQ-Light"/>
        </w:rPr>
        <w:t>credentialing</w:t>
      </w:r>
      <w:r w:rsidRPr="00AE5D1B">
        <w:rPr>
          <w:rFonts w:ascii="Calibri" w:hAnsi="Calibri" w:cs="CorporateSBQ-Light"/>
        </w:rPr>
        <w:t xml:space="preserve"> program.</w:t>
      </w:r>
    </w:p>
    <w:p w:rsidR="00D55BEC" w:rsidRDefault="00D55BEC" w:rsidP="00D55BEC">
      <w:pPr>
        <w:jc w:val="both"/>
        <w:rPr>
          <w:rFonts w:ascii="Calibri" w:hAnsi="Calibri" w:cs="Arial"/>
          <w:b/>
          <w:szCs w:val="24"/>
        </w:rPr>
      </w:pPr>
    </w:p>
    <w:tbl>
      <w:tblPr>
        <w:tblpPr w:leftFromText="180" w:rightFromText="180" w:vertAnchor="text" w:horzAnchor="margin" w:tblpX="108" w:tblpY="181"/>
        <w:tblW w:w="9158" w:type="dxa"/>
        <w:shd w:val="clear" w:color="auto" w:fill="000000"/>
        <w:tblLook w:val="0000"/>
      </w:tblPr>
      <w:tblGrid>
        <w:gridCol w:w="9158"/>
      </w:tblGrid>
      <w:tr w:rsidR="00D55BEC" w:rsidRPr="001502DF" w:rsidTr="00EF609E">
        <w:trPr>
          <w:cantSplit/>
          <w:trHeight w:val="285"/>
        </w:trPr>
        <w:tc>
          <w:tcPr>
            <w:tcW w:w="9158" w:type="dxa"/>
            <w:shd w:val="clear" w:color="auto" w:fill="000000"/>
          </w:tcPr>
          <w:p w:rsidR="00D55BEC" w:rsidRPr="001502DF" w:rsidRDefault="00D55BEC" w:rsidP="00EF609E">
            <w:pPr>
              <w:spacing w:before="40" w:after="40"/>
              <w:rPr>
                <w:rFonts w:ascii="Calibri" w:hAnsi="Calibri" w:cs="Arial"/>
                <w:b/>
                <w:szCs w:val="24"/>
              </w:rPr>
            </w:pPr>
            <w:r>
              <w:rPr>
                <w:rFonts w:ascii="Calibri" w:hAnsi="Calibri" w:cs="Arial"/>
                <w:b/>
                <w:szCs w:val="24"/>
              </w:rPr>
              <w:t>Roles and Responsibilities</w:t>
            </w:r>
          </w:p>
        </w:tc>
      </w:tr>
    </w:tbl>
    <w:p w:rsidR="00D55BEC" w:rsidRDefault="00D55BEC" w:rsidP="00D55BEC">
      <w:pPr>
        <w:rPr>
          <w:rFonts w:ascii="Calibri" w:hAnsi="Calibri" w:cs="Arial"/>
          <w:szCs w:val="24"/>
          <w:lang w:eastAsia="en-AU"/>
        </w:rPr>
      </w:pPr>
    </w:p>
    <w:p w:rsidR="00E45900" w:rsidRPr="00E45900" w:rsidRDefault="00E45900" w:rsidP="00E45900">
      <w:pPr>
        <w:rPr>
          <w:rFonts w:ascii="Calibri" w:hAnsi="Calibri" w:cs="CorporateSBQ-Light"/>
          <w:i/>
        </w:rPr>
      </w:pPr>
      <w:r w:rsidRPr="00E45900">
        <w:rPr>
          <w:rFonts w:ascii="Calibri" w:hAnsi="Calibri" w:cs="CorporateSBQ-Light"/>
          <w:b/>
          <w:i/>
        </w:rPr>
        <w:t>Medical and Dental Professional Standards Unit (MDPSU</w:t>
      </w:r>
      <w:r w:rsidRPr="00E45900">
        <w:rPr>
          <w:rFonts w:ascii="Calibri" w:hAnsi="Calibri" w:cs="CorporateSBQ-Light"/>
          <w:i/>
        </w:rPr>
        <w:t>)</w:t>
      </w:r>
    </w:p>
    <w:p w:rsidR="00E45900" w:rsidRDefault="00E45900" w:rsidP="00E45900">
      <w:pPr>
        <w:rPr>
          <w:rFonts w:ascii="Calibri" w:hAnsi="Calibri" w:cs="Arial"/>
        </w:rPr>
      </w:pPr>
      <w:r>
        <w:rPr>
          <w:rFonts w:ascii="Calibri" w:hAnsi="Calibri" w:cs="CorporateSBQ-Light"/>
        </w:rPr>
        <w:t>MDPSU</w:t>
      </w:r>
      <w:r w:rsidRPr="00AE5D1B">
        <w:rPr>
          <w:rFonts w:ascii="Calibri" w:hAnsi="Calibri" w:cs="Arial"/>
        </w:rPr>
        <w:t xml:space="preserve"> is responsible for the establishment and maintenance of the </w:t>
      </w:r>
      <w:r>
        <w:rPr>
          <w:rFonts w:ascii="Calibri" w:hAnsi="Calibri" w:cs="Arial"/>
        </w:rPr>
        <w:t xml:space="preserve">processes described in this policy and SOPs relating to </w:t>
      </w:r>
      <w:r w:rsidR="00251FD6">
        <w:rPr>
          <w:rFonts w:ascii="Calibri" w:hAnsi="Calibri" w:cs="Arial"/>
        </w:rPr>
        <w:t>credentialing</w:t>
      </w:r>
      <w:r w:rsidRPr="00AE5D1B">
        <w:rPr>
          <w:rFonts w:ascii="Calibri" w:hAnsi="Calibri" w:cs="Arial"/>
        </w:rPr>
        <w:t xml:space="preserve"> and defining the scope of clinical practice. MDPSU works collaboratively with Clinical Directors/Unit Directors, Medi</w:t>
      </w:r>
      <w:r w:rsidRPr="00AE5D1B">
        <w:rPr>
          <w:rFonts w:ascii="Calibri" w:hAnsi="Calibri" w:cs="CorporateSBQ-Light"/>
        </w:rPr>
        <w:t>cal Managers and Executive</w:t>
      </w:r>
      <w:r w:rsidRPr="00AE5D1B">
        <w:rPr>
          <w:rFonts w:ascii="Calibri" w:hAnsi="Calibri" w:cs="Arial"/>
        </w:rPr>
        <w:t xml:space="preserve"> Directors.</w:t>
      </w:r>
    </w:p>
    <w:p w:rsidR="00E45900" w:rsidRDefault="00E45900" w:rsidP="00E45900">
      <w:pPr>
        <w:rPr>
          <w:rFonts w:asciiTheme="minorHAnsi" w:hAnsiTheme="minorHAnsi" w:cstheme="minorHAnsi"/>
          <w:b/>
          <w:i/>
          <w:szCs w:val="22"/>
        </w:rPr>
      </w:pPr>
    </w:p>
    <w:p w:rsidR="00FE36EF" w:rsidRDefault="00FE36EF" w:rsidP="00E45900">
      <w:pPr>
        <w:rPr>
          <w:rFonts w:asciiTheme="minorHAnsi" w:hAnsiTheme="minorHAnsi" w:cstheme="minorHAnsi"/>
          <w:b/>
          <w:i/>
          <w:szCs w:val="22"/>
        </w:rPr>
      </w:pPr>
    </w:p>
    <w:p w:rsidR="00FE36EF" w:rsidRDefault="00FE36EF" w:rsidP="00E45900">
      <w:pPr>
        <w:rPr>
          <w:rFonts w:asciiTheme="minorHAnsi" w:hAnsiTheme="minorHAnsi" w:cstheme="minorHAnsi"/>
          <w:b/>
          <w:i/>
          <w:szCs w:val="22"/>
        </w:rPr>
      </w:pPr>
    </w:p>
    <w:p w:rsidR="001C3152" w:rsidRDefault="001C3152" w:rsidP="00E45900">
      <w:pPr>
        <w:rPr>
          <w:rFonts w:asciiTheme="minorHAnsi" w:hAnsiTheme="minorHAnsi" w:cstheme="minorHAnsi"/>
          <w:b/>
          <w:i/>
          <w:szCs w:val="22"/>
        </w:rPr>
      </w:pPr>
    </w:p>
    <w:p w:rsidR="00E45900" w:rsidRPr="00B14EB3" w:rsidRDefault="00E45900" w:rsidP="00E45900">
      <w:pPr>
        <w:rPr>
          <w:rFonts w:asciiTheme="minorHAnsi" w:hAnsiTheme="minorHAnsi" w:cstheme="minorHAnsi"/>
          <w:b/>
          <w:i/>
          <w:szCs w:val="22"/>
        </w:rPr>
      </w:pPr>
      <w:r w:rsidRPr="00B14EB3">
        <w:rPr>
          <w:rFonts w:asciiTheme="minorHAnsi" w:hAnsiTheme="minorHAnsi" w:cstheme="minorHAnsi"/>
          <w:b/>
          <w:i/>
          <w:szCs w:val="22"/>
        </w:rPr>
        <w:t xml:space="preserve">Medical and Dental Appointments Advisory Committee (MDAAC) </w:t>
      </w:r>
    </w:p>
    <w:p w:rsidR="00E45900" w:rsidRPr="00AE5D1B" w:rsidRDefault="00E45900" w:rsidP="00E45900">
      <w:pPr>
        <w:rPr>
          <w:rFonts w:ascii="Calibri" w:hAnsi="Calibri" w:cs="Arial"/>
          <w:szCs w:val="24"/>
        </w:rPr>
      </w:pPr>
      <w:r w:rsidRPr="00AE5D1B">
        <w:rPr>
          <w:rFonts w:ascii="Calibri" w:hAnsi="Calibri" w:cs="Arial"/>
          <w:szCs w:val="24"/>
        </w:rPr>
        <w:t xml:space="preserve">MDAAC is an approved scope of clinical practice committee under the Health Act. Its role is to oversee the SMDP recruitment and appointment process and to provide recommendations on the </w:t>
      </w:r>
      <w:r w:rsidR="00251FD6">
        <w:rPr>
          <w:rFonts w:ascii="Calibri" w:hAnsi="Calibri" w:cs="Arial"/>
          <w:szCs w:val="24"/>
        </w:rPr>
        <w:t>credentialing</w:t>
      </w:r>
      <w:r w:rsidRPr="00AE5D1B">
        <w:rPr>
          <w:rFonts w:ascii="Calibri" w:hAnsi="Calibri" w:cs="Arial"/>
          <w:szCs w:val="24"/>
        </w:rPr>
        <w:t>, scope of clinical practice and appointments of SMDPs, to:</w:t>
      </w:r>
    </w:p>
    <w:p w:rsidR="00E45900" w:rsidRPr="005E419B" w:rsidRDefault="00E45900" w:rsidP="005E419B">
      <w:pPr>
        <w:pStyle w:val="ListParagraph"/>
        <w:numPr>
          <w:ilvl w:val="0"/>
          <w:numId w:val="16"/>
        </w:numPr>
        <w:tabs>
          <w:tab w:val="left" w:pos="426"/>
        </w:tabs>
        <w:ind w:left="426" w:hanging="426"/>
        <w:rPr>
          <w:rFonts w:ascii="Calibri" w:hAnsi="Calibri" w:cs="CorporateSBQ-Light"/>
        </w:rPr>
      </w:pPr>
      <w:r w:rsidRPr="005E419B">
        <w:rPr>
          <w:rFonts w:ascii="Calibri" w:hAnsi="Calibri" w:cs="CorporateSBQ-Light"/>
        </w:rPr>
        <w:t xml:space="preserve">the decision-maker defined by the Health Act for decisions relating to scope of clinical practice; and </w:t>
      </w:r>
    </w:p>
    <w:p w:rsidR="00E45900" w:rsidRPr="005E419B" w:rsidRDefault="00E45900" w:rsidP="005E419B">
      <w:pPr>
        <w:pStyle w:val="ListParagraph"/>
        <w:numPr>
          <w:ilvl w:val="0"/>
          <w:numId w:val="16"/>
        </w:numPr>
        <w:tabs>
          <w:tab w:val="left" w:pos="426"/>
        </w:tabs>
        <w:ind w:left="426" w:hanging="426"/>
        <w:rPr>
          <w:rFonts w:ascii="Calibri" w:hAnsi="Calibri" w:cs="CorporateSBQ-Light"/>
        </w:rPr>
      </w:pPr>
      <w:r w:rsidRPr="005E419B">
        <w:rPr>
          <w:rFonts w:ascii="Calibri" w:hAnsi="Calibri" w:cs="CorporateSBQ-Light"/>
        </w:rPr>
        <w:t>the delegate defined by the PSM Act for appointments.</w:t>
      </w:r>
    </w:p>
    <w:p w:rsidR="00E45900" w:rsidRPr="00AE5D1B" w:rsidRDefault="00E45900" w:rsidP="00E45900">
      <w:pPr>
        <w:rPr>
          <w:rFonts w:ascii="Calibri" w:hAnsi="Calibri" w:cs="Arial"/>
          <w:szCs w:val="24"/>
        </w:rPr>
      </w:pPr>
    </w:p>
    <w:p w:rsidR="00E45900" w:rsidRDefault="00E45900" w:rsidP="00E45900">
      <w:pPr>
        <w:rPr>
          <w:rFonts w:ascii="Calibri" w:hAnsi="Calibri" w:cs="CorporateSBQ-Light"/>
          <w:b/>
        </w:rPr>
      </w:pPr>
      <w:r w:rsidRPr="00AE5D1B">
        <w:rPr>
          <w:rFonts w:ascii="Calibri" w:hAnsi="Calibri" w:cs="Arial"/>
          <w:szCs w:val="24"/>
        </w:rPr>
        <w:t xml:space="preserve">All information prepared for </w:t>
      </w:r>
      <w:r>
        <w:rPr>
          <w:rFonts w:ascii="Calibri" w:hAnsi="Calibri" w:cs="Arial"/>
          <w:szCs w:val="24"/>
        </w:rPr>
        <w:t>MDAAC</w:t>
      </w:r>
      <w:r w:rsidRPr="00AE5D1B">
        <w:rPr>
          <w:rFonts w:ascii="Calibri" w:hAnsi="Calibri" w:cs="Arial"/>
          <w:szCs w:val="24"/>
        </w:rPr>
        <w:t xml:space="preserve"> is protected under the secrecy provisions of the Health Act and thereby falls outside of the public domain.</w:t>
      </w:r>
    </w:p>
    <w:p w:rsidR="00E45900" w:rsidRDefault="00E45900" w:rsidP="00810CBD">
      <w:pPr>
        <w:rPr>
          <w:rFonts w:ascii="Calibri" w:hAnsi="Calibri" w:cs="CorporateSBQ-Light"/>
          <w:b/>
        </w:rPr>
      </w:pPr>
    </w:p>
    <w:p w:rsidR="00E45900" w:rsidRPr="00B14EB3" w:rsidRDefault="00E45900" w:rsidP="00E45900">
      <w:pPr>
        <w:rPr>
          <w:rFonts w:asciiTheme="minorHAnsi" w:hAnsiTheme="minorHAnsi" w:cstheme="minorHAnsi"/>
          <w:b/>
          <w:i/>
          <w:szCs w:val="22"/>
        </w:rPr>
      </w:pPr>
      <w:r>
        <w:rPr>
          <w:rFonts w:asciiTheme="minorHAnsi" w:hAnsiTheme="minorHAnsi" w:cstheme="minorHAnsi"/>
          <w:b/>
          <w:i/>
          <w:szCs w:val="22"/>
        </w:rPr>
        <w:t>Clinical Practice Committee (CPC)</w:t>
      </w:r>
    </w:p>
    <w:p w:rsidR="00E45900" w:rsidRDefault="00E45900" w:rsidP="00E45900">
      <w:pPr>
        <w:rPr>
          <w:rFonts w:ascii="Calibri" w:hAnsi="Calibri" w:cs="CorporateSBQ-Light"/>
          <w:b/>
        </w:rPr>
      </w:pPr>
      <w:r>
        <w:rPr>
          <w:rFonts w:ascii="Calibri" w:hAnsi="Calibri" w:cs="Arial"/>
          <w:szCs w:val="24"/>
        </w:rPr>
        <w:t xml:space="preserve">CPC </w:t>
      </w:r>
      <w:r w:rsidRPr="00AE5D1B">
        <w:rPr>
          <w:rFonts w:ascii="Calibri" w:hAnsi="Calibri" w:cs="Arial"/>
          <w:szCs w:val="24"/>
        </w:rPr>
        <w:t xml:space="preserve">is </w:t>
      </w:r>
      <w:r>
        <w:rPr>
          <w:rFonts w:ascii="Calibri" w:hAnsi="Calibri" w:cs="Arial"/>
          <w:szCs w:val="24"/>
        </w:rPr>
        <w:t>an</w:t>
      </w:r>
      <w:r w:rsidRPr="00AE5D1B">
        <w:rPr>
          <w:rFonts w:ascii="Calibri" w:hAnsi="Calibri" w:cs="Arial"/>
          <w:szCs w:val="24"/>
        </w:rPr>
        <w:t xml:space="preserve"> approved public sector clinical </w:t>
      </w:r>
      <w:r w:rsidR="00581B97">
        <w:rPr>
          <w:rFonts w:ascii="Calibri" w:hAnsi="Calibri" w:cs="Arial"/>
          <w:szCs w:val="24"/>
        </w:rPr>
        <w:t xml:space="preserve">scope of clinical </w:t>
      </w:r>
      <w:r w:rsidRPr="00AE5D1B">
        <w:rPr>
          <w:rFonts w:ascii="Calibri" w:hAnsi="Calibri" w:cs="Arial"/>
          <w:szCs w:val="24"/>
        </w:rPr>
        <w:t xml:space="preserve">practice committee under the Health Act.  The CPC conducts extraordinary (unplanned) review of the scope of clinical practice of SMDPs, against whom a complaint or concern about clinical competency has been made.  </w:t>
      </w:r>
      <w:r>
        <w:rPr>
          <w:rFonts w:ascii="Calibri" w:hAnsi="Calibri" w:cs="Arial"/>
          <w:szCs w:val="24"/>
        </w:rPr>
        <w:t xml:space="preserve">Refer: </w:t>
      </w:r>
      <w:r w:rsidR="004E0371">
        <w:rPr>
          <w:rFonts w:ascii="Calibri" w:hAnsi="Calibri" w:cs="Arial"/>
          <w:i/>
          <w:szCs w:val="24"/>
        </w:rPr>
        <w:t xml:space="preserve">Reviewing the Clinical Competence of a Doctor or Dentist following Receipt of a </w:t>
      </w:r>
      <w:r w:rsidRPr="00315C63">
        <w:rPr>
          <w:rFonts w:ascii="Calibri" w:hAnsi="Calibri" w:cs="Arial"/>
          <w:i/>
          <w:szCs w:val="24"/>
        </w:rPr>
        <w:t>Complaint or Concern SOP</w:t>
      </w:r>
      <w:r w:rsidRPr="00AE5D1B">
        <w:rPr>
          <w:rFonts w:ascii="Calibri" w:hAnsi="Calibri" w:cs="Arial"/>
          <w:szCs w:val="24"/>
        </w:rPr>
        <w:t>.</w:t>
      </w:r>
    </w:p>
    <w:p w:rsidR="00E45900" w:rsidRDefault="00E45900" w:rsidP="00810CBD">
      <w:pPr>
        <w:rPr>
          <w:rFonts w:ascii="Calibri" w:hAnsi="Calibri" w:cs="CorporateSBQ-Light"/>
          <w:b/>
        </w:rPr>
      </w:pPr>
    </w:p>
    <w:p w:rsidR="006B71CB" w:rsidRPr="006B71CB" w:rsidRDefault="006B71CB" w:rsidP="004F7E74">
      <w:pPr>
        <w:jc w:val="both"/>
        <w:rPr>
          <w:rFonts w:ascii="Calibri" w:hAnsi="Calibri" w:cs="Arial"/>
          <w:b/>
          <w:sz w:val="20"/>
          <w:szCs w:val="24"/>
        </w:rPr>
      </w:pPr>
      <w:r w:rsidRPr="006B71CB">
        <w:rPr>
          <w:rFonts w:ascii="Calibri" w:hAnsi="Calibri" w:cs="Arial"/>
          <w:b/>
        </w:rPr>
        <w:t>Clinical Directors/Unit Directors, Medi</w:t>
      </w:r>
      <w:r w:rsidRPr="006B71CB">
        <w:rPr>
          <w:rFonts w:ascii="Calibri" w:hAnsi="Calibri" w:cs="CorporateSBQ-Light"/>
          <w:b/>
        </w:rPr>
        <w:t>cal Managers and Executive</w:t>
      </w:r>
      <w:r w:rsidRPr="006B71CB">
        <w:rPr>
          <w:rFonts w:ascii="Calibri" w:hAnsi="Calibri" w:cs="Arial"/>
          <w:b/>
        </w:rPr>
        <w:t xml:space="preserve"> Directors</w:t>
      </w:r>
    </w:p>
    <w:p w:rsidR="006B71CB" w:rsidRPr="006B71CB" w:rsidRDefault="00E45900" w:rsidP="00B14EB3">
      <w:pPr>
        <w:rPr>
          <w:rFonts w:ascii="Calibri" w:hAnsi="Calibri" w:cs="Arial"/>
          <w:szCs w:val="24"/>
        </w:rPr>
      </w:pPr>
      <w:r>
        <w:rPr>
          <w:rFonts w:ascii="Calibri" w:hAnsi="Calibri" w:cs="Arial"/>
          <w:szCs w:val="24"/>
        </w:rPr>
        <w:t>Have ultimate responsibility for the day-to-day ov</w:t>
      </w:r>
      <w:r w:rsidR="0001247E">
        <w:rPr>
          <w:rFonts w:ascii="Calibri" w:hAnsi="Calibri" w:cs="Arial"/>
          <w:szCs w:val="24"/>
        </w:rPr>
        <w:t>ersight and management of SMDPs, including ongoing performance review.</w:t>
      </w:r>
    </w:p>
    <w:p w:rsidR="006B71CB" w:rsidRDefault="006B71CB" w:rsidP="00B14EB3">
      <w:pPr>
        <w:rPr>
          <w:rFonts w:ascii="Calibri" w:hAnsi="Calibri" w:cs="Arial"/>
          <w:b/>
          <w:i/>
          <w:szCs w:val="24"/>
        </w:rPr>
      </w:pPr>
    </w:p>
    <w:p w:rsidR="006B71CB" w:rsidRPr="00E45900" w:rsidRDefault="00E45900" w:rsidP="00B14EB3">
      <w:pPr>
        <w:rPr>
          <w:rFonts w:ascii="Calibri" w:hAnsi="Calibri" w:cs="Arial"/>
          <w:b/>
          <w:szCs w:val="24"/>
        </w:rPr>
      </w:pPr>
      <w:r>
        <w:rPr>
          <w:rFonts w:ascii="Calibri" w:hAnsi="Calibri" w:cs="Arial"/>
          <w:b/>
          <w:szCs w:val="24"/>
        </w:rPr>
        <w:t>Senior Medical and Dental Practitioners (SMDPs)</w:t>
      </w:r>
    </w:p>
    <w:p w:rsidR="00E45900" w:rsidRPr="00AE5D1B" w:rsidRDefault="00E45900" w:rsidP="00E45900">
      <w:pPr>
        <w:rPr>
          <w:rFonts w:ascii="Calibri" w:hAnsi="Calibri" w:cs="Arial"/>
          <w:szCs w:val="24"/>
        </w:rPr>
      </w:pPr>
      <w:r w:rsidRPr="00AE5D1B">
        <w:rPr>
          <w:rFonts w:ascii="Calibri" w:hAnsi="Calibri" w:cs="Arial"/>
          <w:szCs w:val="24"/>
        </w:rPr>
        <w:t xml:space="preserve">A SMDP cannot be appointed or work in a HD or Calvary </w:t>
      </w:r>
      <w:r w:rsidR="00581B97">
        <w:rPr>
          <w:rFonts w:ascii="Calibri" w:hAnsi="Calibri" w:cs="Arial"/>
          <w:szCs w:val="24"/>
        </w:rPr>
        <w:t>H</w:t>
      </w:r>
      <w:r>
        <w:rPr>
          <w:rFonts w:ascii="Calibri" w:hAnsi="Calibri" w:cs="Arial"/>
          <w:szCs w:val="24"/>
        </w:rPr>
        <w:t xml:space="preserve">ealth </w:t>
      </w:r>
      <w:r w:rsidR="00581B97">
        <w:rPr>
          <w:rFonts w:ascii="Calibri" w:hAnsi="Calibri" w:cs="Arial"/>
          <w:szCs w:val="24"/>
        </w:rPr>
        <w:t>C</w:t>
      </w:r>
      <w:r>
        <w:rPr>
          <w:rFonts w:ascii="Calibri" w:hAnsi="Calibri" w:cs="Arial"/>
          <w:szCs w:val="24"/>
        </w:rPr>
        <w:t xml:space="preserve">are </w:t>
      </w:r>
      <w:r w:rsidRPr="00AE5D1B">
        <w:rPr>
          <w:rFonts w:ascii="Calibri" w:hAnsi="Calibri" w:cs="Arial"/>
          <w:szCs w:val="24"/>
        </w:rPr>
        <w:t>facility unless he or she</w:t>
      </w:r>
      <w:r>
        <w:rPr>
          <w:rFonts w:ascii="Calibri" w:hAnsi="Calibri" w:cs="Arial"/>
          <w:szCs w:val="24"/>
        </w:rPr>
        <w:t xml:space="preserve"> participates in</w:t>
      </w:r>
      <w:r w:rsidRPr="00AE5D1B">
        <w:rPr>
          <w:rFonts w:ascii="Calibri" w:hAnsi="Calibri" w:cs="Arial"/>
          <w:szCs w:val="24"/>
        </w:rPr>
        <w:t>:</w:t>
      </w:r>
    </w:p>
    <w:p w:rsidR="00E45900" w:rsidRPr="005E419B" w:rsidRDefault="00E45900" w:rsidP="005E419B">
      <w:pPr>
        <w:pStyle w:val="ListParagraph"/>
        <w:numPr>
          <w:ilvl w:val="0"/>
          <w:numId w:val="16"/>
        </w:numPr>
        <w:tabs>
          <w:tab w:val="left" w:pos="426"/>
        </w:tabs>
        <w:ind w:left="426" w:hanging="426"/>
        <w:rPr>
          <w:rFonts w:ascii="Calibri" w:hAnsi="Calibri" w:cs="CorporateSBQ-Light"/>
        </w:rPr>
      </w:pPr>
      <w:r w:rsidRPr="005E419B">
        <w:rPr>
          <w:rFonts w:ascii="Calibri" w:hAnsi="Calibri" w:cs="CorporateSBQ-Light"/>
        </w:rPr>
        <w:t xml:space="preserve">an initial </w:t>
      </w:r>
      <w:r w:rsidR="00251FD6">
        <w:rPr>
          <w:rFonts w:ascii="Calibri" w:hAnsi="Calibri" w:cs="CorporateSBQ-Light"/>
        </w:rPr>
        <w:t>credentialing</w:t>
      </w:r>
      <w:r w:rsidRPr="005E419B">
        <w:rPr>
          <w:rFonts w:ascii="Calibri" w:hAnsi="Calibri" w:cs="CorporateSBQ-Light"/>
        </w:rPr>
        <w:t xml:space="preserve"> and defining scope of clinical practice process before the appointment is made;</w:t>
      </w:r>
    </w:p>
    <w:p w:rsidR="00E45900" w:rsidRPr="005E419B" w:rsidRDefault="00E45900" w:rsidP="005E419B">
      <w:pPr>
        <w:pStyle w:val="ListParagraph"/>
        <w:numPr>
          <w:ilvl w:val="0"/>
          <w:numId w:val="16"/>
        </w:numPr>
        <w:tabs>
          <w:tab w:val="left" w:pos="426"/>
        </w:tabs>
        <w:ind w:left="426" w:hanging="426"/>
        <w:rPr>
          <w:rFonts w:ascii="Calibri" w:hAnsi="Calibri" w:cs="CorporateSBQ-Light"/>
        </w:rPr>
      </w:pPr>
      <w:r w:rsidRPr="005E419B">
        <w:rPr>
          <w:rFonts w:ascii="Calibri" w:hAnsi="Calibri" w:cs="CorporateSBQ-Light"/>
        </w:rPr>
        <w:t>scheduled re-</w:t>
      </w:r>
      <w:r w:rsidR="00251FD6">
        <w:rPr>
          <w:rFonts w:ascii="Calibri" w:hAnsi="Calibri" w:cs="CorporateSBQ-Light"/>
        </w:rPr>
        <w:t>credentialing</w:t>
      </w:r>
      <w:r w:rsidRPr="005E419B">
        <w:rPr>
          <w:rFonts w:ascii="Calibri" w:hAnsi="Calibri" w:cs="CorporateSBQ-Light"/>
        </w:rPr>
        <w:t xml:space="preserve"> and reviewing of scope of clinical practice at least once every three years; and</w:t>
      </w:r>
    </w:p>
    <w:p w:rsidR="00E45900" w:rsidRPr="005E419B" w:rsidRDefault="00E45900" w:rsidP="005E419B">
      <w:pPr>
        <w:pStyle w:val="ListParagraph"/>
        <w:numPr>
          <w:ilvl w:val="0"/>
          <w:numId w:val="16"/>
        </w:numPr>
        <w:tabs>
          <w:tab w:val="left" w:pos="426"/>
        </w:tabs>
        <w:ind w:left="426" w:hanging="426"/>
        <w:rPr>
          <w:rFonts w:ascii="Calibri" w:hAnsi="Calibri" w:cs="CorporateSBQ-Light"/>
        </w:rPr>
      </w:pPr>
      <w:r w:rsidRPr="005E419B">
        <w:rPr>
          <w:rFonts w:ascii="Calibri" w:hAnsi="Calibri" w:cs="CorporateSBQ-Light"/>
        </w:rPr>
        <w:t>any other re-</w:t>
      </w:r>
      <w:r w:rsidR="00251FD6">
        <w:rPr>
          <w:rFonts w:ascii="Calibri" w:hAnsi="Calibri" w:cs="CorporateSBQ-Light"/>
        </w:rPr>
        <w:t>credentialing</w:t>
      </w:r>
      <w:r w:rsidRPr="005E419B">
        <w:rPr>
          <w:rFonts w:ascii="Calibri" w:hAnsi="Calibri" w:cs="CorporateSBQ-Light"/>
        </w:rPr>
        <w:t xml:space="preserve"> or review process that is conducted in accordance with the Health Act</w:t>
      </w:r>
      <w:r w:rsidR="00581B97" w:rsidRPr="005E419B">
        <w:rPr>
          <w:rFonts w:ascii="Calibri" w:hAnsi="Calibri" w:cs="CorporateSBQ-Light"/>
        </w:rPr>
        <w:t>.</w:t>
      </w:r>
    </w:p>
    <w:p w:rsidR="00E45900" w:rsidRDefault="00E45900" w:rsidP="00E45900">
      <w:pPr>
        <w:rPr>
          <w:rFonts w:ascii="Calibri" w:hAnsi="Calibri" w:cs="Arial"/>
          <w:szCs w:val="24"/>
        </w:rPr>
      </w:pPr>
    </w:p>
    <w:p w:rsidR="00CC5F6F" w:rsidRDefault="001C3152" w:rsidP="00E45900">
      <w:pPr>
        <w:rPr>
          <w:rFonts w:ascii="Calibri" w:hAnsi="Calibri" w:cs="Arial"/>
          <w:szCs w:val="24"/>
        </w:rPr>
      </w:pPr>
      <w:r>
        <w:rPr>
          <w:rFonts w:ascii="Calibri" w:hAnsi="Calibri" w:cs="Arial"/>
          <w:szCs w:val="24"/>
        </w:rPr>
        <w:t>No offer of appointment must be made to a SMDP until the decision-maker has approved a scope of clinical practice.</w:t>
      </w:r>
    </w:p>
    <w:p w:rsidR="00CC5F6F" w:rsidRDefault="00CC5F6F" w:rsidP="00E45900">
      <w:pPr>
        <w:rPr>
          <w:rFonts w:ascii="Calibri" w:hAnsi="Calibri" w:cs="Arial"/>
          <w:szCs w:val="24"/>
        </w:rPr>
      </w:pPr>
    </w:p>
    <w:p w:rsidR="00E45900" w:rsidRPr="00AE5D1B" w:rsidRDefault="00E45900" w:rsidP="00E45900">
      <w:pPr>
        <w:rPr>
          <w:rFonts w:ascii="Calibri" w:hAnsi="Calibri" w:cs="Arial"/>
          <w:szCs w:val="24"/>
        </w:rPr>
      </w:pPr>
      <w:r>
        <w:rPr>
          <w:rFonts w:ascii="Calibri" w:hAnsi="Calibri" w:cs="Arial"/>
          <w:szCs w:val="24"/>
        </w:rPr>
        <w:t xml:space="preserve">A SMDP </w:t>
      </w:r>
      <w:r w:rsidRPr="00AE5D1B">
        <w:rPr>
          <w:rFonts w:ascii="Calibri" w:hAnsi="Calibri" w:cs="Arial"/>
          <w:szCs w:val="24"/>
        </w:rPr>
        <w:t>may</w:t>
      </w:r>
      <w:r>
        <w:rPr>
          <w:rFonts w:ascii="Calibri" w:hAnsi="Calibri" w:cs="Arial"/>
          <w:szCs w:val="24"/>
        </w:rPr>
        <w:t xml:space="preserve"> not</w:t>
      </w:r>
      <w:r w:rsidRPr="00AE5D1B">
        <w:rPr>
          <w:rFonts w:ascii="Calibri" w:hAnsi="Calibri" w:cs="Arial"/>
          <w:szCs w:val="24"/>
        </w:rPr>
        <w:t xml:space="preserve"> hold a scope of clinical practice unless </w:t>
      </w:r>
      <w:r>
        <w:rPr>
          <w:rFonts w:ascii="Calibri" w:hAnsi="Calibri" w:cs="Arial"/>
          <w:szCs w:val="24"/>
        </w:rPr>
        <w:t>he or she</w:t>
      </w:r>
      <w:r w:rsidRPr="00AE5D1B">
        <w:rPr>
          <w:rFonts w:ascii="Calibri" w:hAnsi="Calibri" w:cs="Arial"/>
          <w:szCs w:val="24"/>
        </w:rPr>
        <w:t xml:space="preserve"> hold</w:t>
      </w:r>
      <w:r>
        <w:rPr>
          <w:rFonts w:ascii="Calibri" w:hAnsi="Calibri" w:cs="Arial"/>
          <w:szCs w:val="24"/>
        </w:rPr>
        <w:t>s</w:t>
      </w:r>
      <w:r w:rsidRPr="00AE5D1B">
        <w:rPr>
          <w:rFonts w:ascii="Calibri" w:hAnsi="Calibri" w:cs="Arial"/>
          <w:szCs w:val="24"/>
        </w:rPr>
        <w:t xml:space="preserve"> current registration with the Australian Health Practitioner Regulation Agency (AHPRA).  </w:t>
      </w:r>
    </w:p>
    <w:p w:rsidR="00D55BEC" w:rsidRDefault="00D55BEC" w:rsidP="00D55BEC">
      <w:pPr>
        <w:jc w:val="both"/>
        <w:rPr>
          <w:rFonts w:ascii="Calibri" w:hAnsi="Calibri" w:cs="Arial"/>
          <w:b/>
          <w:szCs w:val="24"/>
        </w:rPr>
      </w:pPr>
    </w:p>
    <w:tbl>
      <w:tblPr>
        <w:tblpPr w:leftFromText="180" w:rightFromText="180" w:vertAnchor="text" w:horzAnchor="margin" w:tblpX="108" w:tblpY="181"/>
        <w:tblW w:w="9158" w:type="dxa"/>
        <w:shd w:val="clear" w:color="auto" w:fill="000000"/>
        <w:tblLook w:val="0000"/>
      </w:tblPr>
      <w:tblGrid>
        <w:gridCol w:w="9158"/>
      </w:tblGrid>
      <w:tr w:rsidR="00D55BEC" w:rsidRPr="001502DF" w:rsidTr="00EF609E">
        <w:trPr>
          <w:cantSplit/>
          <w:trHeight w:val="285"/>
        </w:trPr>
        <w:tc>
          <w:tcPr>
            <w:tcW w:w="9158" w:type="dxa"/>
            <w:shd w:val="clear" w:color="auto" w:fill="000000"/>
          </w:tcPr>
          <w:p w:rsidR="00D55BEC" w:rsidRPr="001502DF" w:rsidRDefault="00D55BEC" w:rsidP="00EF609E">
            <w:pPr>
              <w:spacing w:before="40" w:after="40"/>
              <w:rPr>
                <w:rFonts w:ascii="Calibri" w:hAnsi="Calibri" w:cs="Arial"/>
                <w:b/>
                <w:szCs w:val="24"/>
              </w:rPr>
            </w:pPr>
            <w:r>
              <w:rPr>
                <w:rFonts w:ascii="Calibri" w:hAnsi="Calibri" w:cs="Arial"/>
                <w:b/>
                <w:szCs w:val="24"/>
              </w:rPr>
              <w:t>Evaluation</w:t>
            </w:r>
          </w:p>
        </w:tc>
      </w:tr>
    </w:tbl>
    <w:p w:rsidR="00D55BEC" w:rsidRDefault="00D55BEC" w:rsidP="00D55BEC">
      <w:pPr>
        <w:rPr>
          <w:rFonts w:ascii="Calibri" w:hAnsi="Calibri" w:cs="Arial"/>
          <w:szCs w:val="24"/>
          <w:lang w:eastAsia="en-AU"/>
        </w:rPr>
      </w:pPr>
    </w:p>
    <w:p w:rsidR="00C02333" w:rsidRDefault="00C02333" w:rsidP="00D55BEC">
      <w:pPr>
        <w:rPr>
          <w:rFonts w:ascii="Calibri" w:hAnsi="Calibri" w:cs="Arial"/>
          <w:b/>
          <w:szCs w:val="24"/>
          <w:lang w:eastAsia="en-AU"/>
        </w:rPr>
      </w:pPr>
      <w:r>
        <w:rPr>
          <w:rFonts w:ascii="Calibri" w:hAnsi="Calibri" w:cs="Arial"/>
          <w:b/>
          <w:szCs w:val="24"/>
          <w:lang w:eastAsia="en-AU"/>
        </w:rPr>
        <w:t>Outcome Measures</w:t>
      </w:r>
    </w:p>
    <w:p w:rsidR="00C02333" w:rsidRDefault="00C02333" w:rsidP="00D55BEC">
      <w:pPr>
        <w:rPr>
          <w:rFonts w:ascii="Calibri" w:hAnsi="Calibri" w:cs="Arial"/>
          <w:szCs w:val="24"/>
          <w:lang w:eastAsia="en-AU"/>
        </w:rPr>
      </w:pPr>
      <w:r>
        <w:rPr>
          <w:rFonts w:ascii="Calibri" w:hAnsi="Calibri" w:cs="Arial"/>
          <w:szCs w:val="24"/>
          <w:lang w:eastAsia="en-AU"/>
        </w:rPr>
        <w:t>100% of SMDPs are credentialed and have an approved scope of clinical practice</w:t>
      </w:r>
      <w:r w:rsidR="00985A1D">
        <w:rPr>
          <w:rFonts w:ascii="Calibri" w:hAnsi="Calibri" w:cs="Arial"/>
          <w:szCs w:val="24"/>
          <w:lang w:eastAsia="en-AU"/>
        </w:rPr>
        <w:t xml:space="preserve"> prior to appointment</w:t>
      </w:r>
      <w:r>
        <w:rPr>
          <w:rFonts w:ascii="Calibri" w:hAnsi="Calibri" w:cs="Arial"/>
          <w:szCs w:val="24"/>
          <w:lang w:eastAsia="en-AU"/>
        </w:rPr>
        <w:t>.</w:t>
      </w:r>
      <w:r>
        <w:rPr>
          <w:rFonts w:ascii="Calibri" w:hAnsi="Calibri" w:cs="Arial"/>
          <w:szCs w:val="24"/>
          <w:lang w:eastAsia="en-AU"/>
        </w:rPr>
        <w:br/>
      </w:r>
    </w:p>
    <w:p w:rsidR="001C3152" w:rsidRDefault="001C3152">
      <w:pPr>
        <w:rPr>
          <w:rFonts w:ascii="Calibri" w:hAnsi="Calibri" w:cs="Arial"/>
          <w:b/>
          <w:szCs w:val="24"/>
          <w:lang w:eastAsia="en-AU"/>
        </w:rPr>
      </w:pPr>
      <w:r>
        <w:rPr>
          <w:rFonts w:ascii="Calibri" w:hAnsi="Calibri" w:cs="Arial"/>
          <w:b/>
          <w:szCs w:val="24"/>
          <w:lang w:eastAsia="en-AU"/>
        </w:rPr>
        <w:br w:type="page"/>
      </w:r>
    </w:p>
    <w:p w:rsidR="001C3152" w:rsidRDefault="001C3152" w:rsidP="00D55BEC">
      <w:pPr>
        <w:rPr>
          <w:rFonts w:ascii="Calibri" w:hAnsi="Calibri" w:cs="Arial"/>
          <w:b/>
          <w:szCs w:val="24"/>
          <w:lang w:eastAsia="en-AU"/>
        </w:rPr>
      </w:pPr>
    </w:p>
    <w:p w:rsidR="00C02333" w:rsidRPr="00C02333" w:rsidRDefault="00C02333" w:rsidP="00D55BEC">
      <w:pPr>
        <w:rPr>
          <w:rFonts w:ascii="Calibri" w:hAnsi="Calibri" w:cs="Arial"/>
          <w:b/>
          <w:szCs w:val="24"/>
          <w:lang w:eastAsia="en-AU"/>
        </w:rPr>
      </w:pPr>
      <w:r>
        <w:rPr>
          <w:rFonts w:ascii="Calibri" w:hAnsi="Calibri" w:cs="Arial"/>
          <w:b/>
          <w:szCs w:val="24"/>
          <w:lang w:eastAsia="en-AU"/>
        </w:rPr>
        <w:t>Method</w:t>
      </w:r>
    </w:p>
    <w:p w:rsidR="00C02333" w:rsidRPr="00AE5D1B" w:rsidRDefault="004E0371" w:rsidP="00C02333">
      <w:pPr>
        <w:rPr>
          <w:rFonts w:ascii="Calibri" w:hAnsi="Calibri" w:cs="Arial"/>
          <w:szCs w:val="24"/>
        </w:rPr>
      </w:pPr>
      <w:r>
        <w:rPr>
          <w:rFonts w:ascii="Calibri" w:hAnsi="Calibri" w:cs="Arial"/>
          <w:szCs w:val="24"/>
        </w:rPr>
        <w:t>The Director of MDPSU will establish and implement a suite of Key Performance Indicators agreed by the DD</w:t>
      </w:r>
      <w:r w:rsidR="001D1675">
        <w:rPr>
          <w:rFonts w:ascii="Calibri" w:hAnsi="Calibri" w:cs="Arial"/>
          <w:szCs w:val="24"/>
        </w:rPr>
        <w:t>-</w:t>
      </w:r>
      <w:r>
        <w:rPr>
          <w:rFonts w:ascii="Calibri" w:hAnsi="Calibri" w:cs="Arial"/>
          <w:szCs w:val="24"/>
        </w:rPr>
        <w:t>G</w:t>
      </w:r>
      <w:r w:rsidR="001D1675">
        <w:rPr>
          <w:rFonts w:ascii="Calibri" w:hAnsi="Calibri" w:cs="Arial"/>
          <w:szCs w:val="24"/>
        </w:rPr>
        <w:t>, Strategy &amp; Corporate</w:t>
      </w:r>
      <w:r>
        <w:rPr>
          <w:rFonts w:ascii="Calibri" w:hAnsi="Calibri" w:cs="Arial"/>
          <w:szCs w:val="24"/>
        </w:rPr>
        <w:t xml:space="preserve">. </w:t>
      </w:r>
    </w:p>
    <w:p w:rsidR="001155F0" w:rsidRPr="00AE5D1B" w:rsidRDefault="004E0371" w:rsidP="00AE5D1B">
      <w:pPr>
        <w:rPr>
          <w:rFonts w:ascii="Calibri" w:hAnsi="Calibri" w:cs="Arial"/>
          <w:szCs w:val="24"/>
        </w:rPr>
      </w:pPr>
      <w:r>
        <w:rPr>
          <w:rFonts w:ascii="Calibri" w:hAnsi="Calibri" w:cs="Arial"/>
          <w:szCs w:val="24"/>
        </w:rPr>
        <w:t xml:space="preserve"> In addition there will be</w:t>
      </w:r>
      <w:r w:rsidR="001155F0" w:rsidRPr="00AE5D1B">
        <w:rPr>
          <w:rFonts w:ascii="Calibri" w:hAnsi="Calibri" w:cs="Arial"/>
          <w:szCs w:val="24"/>
        </w:rPr>
        <w:t xml:space="preserve"> an annual Evaluation Report of MDAAC performance and outcomes.</w:t>
      </w:r>
    </w:p>
    <w:p w:rsidR="00FE36EF" w:rsidRPr="001C3152" w:rsidRDefault="00FE36EF" w:rsidP="00D55BEC">
      <w:pPr>
        <w:jc w:val="both"/>
        <w:rPr>
          <w:rFonts w:ascii="Calibri" w:hAnsi="Calibri" w:cs="Arial"/>
          <w:sz w:val="20"/>
          <w:szCs w:val="24"/>
        </w:rPr>
      </w:pPr>
    </w:p>
    <w:tbl>
      <w:tblPr>
        <w:tblpPr w:leftFromText="180" w:rightFromText="180" w:vertAnchor="text" w:horzAnchor="margin" w:tblpX="108" w:tblpY="181"/>
        <w:tblW w:w="9158" w:type="dxa"/>
        <w:shd w:val="clear" w:color="auto" w:fill="000000"/>
        <w:tblLook w:val="0000"/>
      </w:tblPr>
      <w:tblGrid>
        <w:gridCol w:w="9158"/>
      </w:tblGrid>
      <w:tr w:rsidR="00D55BEC" w:rsidRPr="001B2BAC" w:rsidTr="00EF609E">
        <w:trPr>
          <w:cantSplit/>
          <w:trHeight w:val="285"/>
        </w:trPr>
        <w:tc>
          <w:tcPr>
            <w:tcW w:w="9158" w:type="dxa"/>
            <w:shd w:val="clear" w:color="auto" w:fill="000000"/>
          </w:tcPr>
          <w:p w:rsidR="00D55BEC" w:rsidRPr="001502DF" w:rsidRDefault="00D55BEC" w:rsidP="00EF609E">
            <w:pPr>
              <w:spacing w:before="40" w:after="40"/>
              <w:rPr>
                <w:rFonts w:ascii="Calibri" w:hAnsi="Calibri" w:cs="Arial"/>
                <w:b/>
                <w:szCs w:val="24"/>
              </w:rPr>
            </w:pPr>
            <w:r>
              <w:rPr>
                <w:rFonts w:ascii="Calibri" w:hAnsi="Calibri" w:cs="Arial"/>
                <w:b/>
                <w:szCs w:val="24"/>
              </w:rPr>
              <w:t>Related Legislation, Policies and Standards</w:t>
            </w:r>
          </w:p>
        </w:tc>
      </w:tr>
    </w:tbl>
    <w:p w:rsidR="00D55BEC" w:rsidRPr="001C3152" w:rsidRDefault="00D55BEC" w:rsidP="00B14EB3">
      <w:pPr>
        <w:rPr>
          <w:rFonts w:asciiTheme="minorHAnsi" w:hAnsiTheme="minorHAnsi" w:cstheme="minorHAnsi"/>
          <w:b/>
          <w:i/>
          <w:sz w:val="20"/>
          <w:szCs w:val="22"/>
        </w:rPr>
      </w:pPr>
    </w:p>
    <w:p w:rsidR="00313197" w:rsidRPr="00313197" w:rsidRDefault="00313197" w:rsidP="00B14EB3">
      <w:pPr>
        <w:rPr>
          <w:rFonts w:asciiTheme="minorHAnsi" w:hAnsiTheme="minorHAnsi" w:cstheme="minorHAnsi"/>
          <w:b/>
          <w:i/>
          <w:szCs w:val="22"/>
        </w:rPr>
      </w:pPr>
      <w:r w:rsidRPr="00313197">
        <w:rPr>
          <w:rFonts w:asciiTheme="minorHAnsi" w:hAnsiTheme="minorHAnsi" w:cstheme="minorHAnsi"/>
          <w:b/>
          <w:i/>
          <w:szCs w:val="22"/>
        </w:rPr>
        <w:t>Legislation</w:t>
      </w:r>
    </w:p>
    <w:p w:rsidR="00313197" w:rsidRDefault="00313197" w:rsidP="00B14EB3">
      <w:pPr>
        <w:rPr>
          <w:rFonts w:asciiTheme="minorHAnsi" w:hAnsiTheme="minorHAnsi" w:cstheme="minorHAnsi"/>
          <w:szCs w:val="22"/>
        </w:rPr>
      </w:pPr>
      <w:r>
        <w:rPr>
          <w:rFonts w:asciiTheme="minorHAnsi" w:hAnsiTheme="minorHAnsi" w:cstheme="minorHAnsi"/>
          <w:i/>
          <w:szCs w:val="22"/>
        </w:rPr>
        <w:t>Health Act 1993</w:t>
      </w:r>
      <w:r w:rsidR="00581B97">
        <w:rPr>
          <w:rFonts w:asciiTheme="minorHAnsi" w:hAnsiTheme="minorHAnsi" w:cstheme="minorHAnsi"/>
          <w:i/>
          <w:szCs w:val="22"/>
        </w:rPr>
        <w:t xml:space="preserve"> (ACT)</w:t>
      </w:r>
    </w:p>
    <w:p w:rsidR="00313197" w:rsidRDefault="00090288" w:rsidP="00B14EB3">
      <w:pPr>
        <w:rPr>
          <w:rFonts w:asciiTheme="minorHAnsi" w:hAnsiTheme="minorHAnsi" w:cstheme="minorHAnsi"/>
          <w:i/>
          <w:szCs w:val="22"/>
        </w:rPr>
      </w:pPr>
      <w:hyperlink r:id="rId13" w:history="1">
        <w:r w:rsidR="00313197">
          <w:rPr>
            <w:rFonts w:ascii="Calibri" w:hAnsi="Calibri" w:cs="Arial"/>
            <w:i/>
          </w:rPr>
          <w:t>Discrimination Act 1991</w:t>
        </w:r>
      </w:hyperlink>
    </w:p>
    <w:p w:rsidR="00313197" w:rsidRDefault="00B71280" w:rsidP="00B14EB3">
      <w:r w:rsidRPr="000A1351">
        <w:rPr>
          <w:rFonts w:asciiTheme="minorHAnsi" w:hAnsiTheme="minorHAnsi" w:cstheme="minorHAnsi"/>
          <w:i/>
          <w:szCs w:val="22"/>
        </w:rPr>
        <w:t>Public Sector Management Act</w:t>
      </w:r>
      <w:r w:rsidRPr="000A1351">
        <w:rPr>
          <w:rFonts w:asciiTheme="minorHAnsi" w:hAnsiTheme="minorHAnsi" w:cstheme="minorHAnsi"/>
          <w:szCs w:val="22"/>
        </w:rPr>
        <w:t xml:space="preserve"> </w:t>
      </w:r>
      <w:r w:rsidRPr="000A1351">
        <w:rPr>
          <w:rFonts w:asciiTheme="minorHAnsi" w:hAnsiTheme="minorHAnsi" w:cstheme="minorHAnsi"/>
          <w:i/>
          <w:szCs w:val="22"/>
        </w:rPr>
        <w:t>(1994)</w:t>
      </w:r>
      <w:r w:rsidR="00313197" w:rsidRPr="00313197">
        <w:t xml:space="preserve"> </w:t>
      </w:r>
    </w:p>
    <w:p w:rsidR="00313197" w:rsidRDefault="00090288" w:rsidP="00B14EB3">
      <w:pPr>
        <w:rPr>
          <w:rFonts w:ascii="Calibri" w:hAnsi="Calibri" w:cs="Arial"/>
          <w:i/>
        </w:rPr>
      </w:pPr>
      <w:hyperlink r:id="rId14" w:history="1">
        <w:r w:rsidR="00313197">
          <w:rPr>
            <w:rFonts w:ascii="Calibri" w:hAnsi="Calibri" w:cs="Arial"/>
            <w:i/>
          </w:rPr>
          <w:t>Health Practitioner Regulation National Law 2010</w:t>
        </w:r>
      </w:hyperlink>
      <w:r w:rsidR="00581B97" w:rsidRPr="00581B97">
        <w:rPr>
          <w:rFonts w:ascii="Calibri" w:hAnsi="Calibri" w:cs="Arial"/>
          <w:i/>
        </w:rPr>
        <w:t xml:space="preserve"> (ACT)</w:t>
      </w:r>
      <w:r w:rsidR="00313197">
        <w:rPr>
          <w:rFonts w:ascii="Calibri" w:hAnsi="Calibri" w:cs="Arial"/>
          <w:i/>
        </w:rPr>
        <w:t xml:space="preserve">  </w:t>
      </w:r>
    </w:p>
    <w:p w:rsidR="00B71280" w:rsidRPr="0080485B" w:rsidRDefault="00B71280" w:rsidP="00B14EB3">
      <w:pPr>
        <w:rPr>
          <w:rFonts w:ascii="Calibri" w:hAnsi="Calibri" w:cs="Arial"/>
          <w:b/>
          <w:szCs w:val="24"/>
        </w:rPr>
      </w:pPr>
      <w:r w:rsidRPr="00B12541">
        <w:rPr>
          <w:rFonts w:asciiTheme="minorHAnsi" w:hAnsiTheme="minorHAnsi" w:cstheme="minorHAnsi"/>
        </w:rPr>
        <w:t xml:space="preserve">ACT </w:t>
      </w:r>
      <w:r w:rsidRPr="00B12541">
        <w:rPr>
          <w:rFonts w:asciiTheme="minorHAnsi" w:hAnsiTheme="minorHAnsi" w:cstheme="minorHAnsi"/>
          <w:i/>
        </w:rPr>
        <w:t>Public Sector Management Standards 2006</w:t>
      </w:r>
    </w:p>
    <w:p w:rsidR="00D55BEC" w:rsidRPr="001C3152" w:rsidRDefault="00D55BEC" w:rsidP="00B14EB3">
      <w:pPr>
        <w:rPr>
          <w:rFonts w:ascii="Calibri" w:hAnsi="Calibri" w:cs="Arial"/>
          <w:b/>
          <w:i/>
          <w:sz w:val="20"/>
        </w:rPr>
      </w:pPr>
    </w:p>
    <w:p w:rsidR="00313197" w:rsidRDefault="00313197" w:rsidP="00B14EB3">
      <w:pPr>
        <w:rPr>
          <w:rFonts w:ascii="Calibri" w:hAnsi="Calibri" w:cs="Calibri"/>
          <w:color w:val="000000"/>
          <w:szCs w:val="24"/>
          <w:lang w:eastAsia="en-AU"/>
        </w:rPr>
      </w:pPr>
      <w:r>
        <w:rPr>
          <w:rFonts w:ascii="Calibri" w:hAnsi="Calibri" w:cs="Arial"/>
          <w:b/>
          <w:i/>
        </w:rPr>
        <w:t>Standards</w:t>
      </w:r>
    </w:p>
    <w:p w:rsidR="00B71280" w:rsidRDefault="00B71280" w:rsidP="00B14EB3">
      <w:pPr>
        <w:rPr>
          <w:rFonts w:ascii="Calibri" w:hAnsi="Calibri" w:cs="Calibri"/>
          <w:color w:val="000000"/>
          <w:szCs w:val="24"/>
          <w:lang w:eastAsia="en-AU"/>
        </w:rPr>
      </w:pPr>
      <w:r w:rsidRPr="00B71280">
        <w:rPr>
          <w:rFonts w:ascii="Calibri" w:hAnsi="Calibri" w:cs="Calibri"/>
          <w:color w:val="000000"/>
          <w:szCs w:val="24"/>
          <w:lang w:eastAsia="en-AU"/>
        </w:rPr>
        <w:t xml:space="preserve">Australian Council on Healthcare Standards’ </w:t>
      </w:r>
      <w:r w:rsidRPr="00B71280">
        <w:rPr>
          <w:rFonts w:ascii="Calibri" w:hAnsi="Calibri" w:cs="Calibri"/>
          <w:i/>
          <w:iCs/>
          <w:color w:val="000000"/>
          <w:szCs w:val="24"/>
          <w:lang w:eastAsia="en-AU"/>
        </w:rPr>
        <w:t xml:space="preserve">Evaluation and Quality Improvement Program </w:t>
      </w:r>
      <w:r w:rsidRPr="00B71280">
        <w:rPr>
          <w:rFonts w:ascii="Calibri" w:hAnsi="Calibri" w:cs="Calibri"/>
          <w:color w:val="000000"/>
          <w:szCs w:val="24"/>
          <w:lang w:eastAsia="en-AU"/>
        </w:rPr>
        <w:t xml:space="preserve">(EQuIP </w:t>
      </w:r>
      <w:r>
        <w:rPr>
          <w:rFonts w:ascii="Calibri" w:hAnsi="Calibri" w:cs="Calibri"/>
          <w:color w:val="000000"/>
          <w:szCs w:val="24"/>
          <w:lang w:eastAsia="en-AU"/>
        </w:rPr>
        <w:t>5</w:t>
      </w:r>
      <w:r w:rsidRPr="00B71280">
        <w:rPr>
          <w:rFonts w:ascii="Calibri" w:hAnsi="Calibri" w:cs="Calibri"/>
          <w:color w:val="000000"/>
          <w:szCs w:val="24"/>
          <w:lang w:eastAsia="en-AU"/>
        </w:rPr>
        <w:t>)</w:t>
      </w:r>
    </w:p>
    <w:p w:rsidR="00313197" w:rsidRDefault="00D36D3D" w:rsidP="00B14EB3">
      <w:pPr>
        <w:rPr>
          <w:rFonts w:ascii="Calibri" w:hAnsi="Calibri" w:cs="Arial"/>
          <w:b/>
          <w:i/>
        </w:rPr>
      </w:pPr>
      <w:r>
        <w:rPr>
          <w:rFonts w:ascii="Calibri" w:hAnsi="Calibri" w:cs="Arial"/>
        </w:rPr>
        <w:t>CanMEDS 2005 Physician Competency Framework</w:t>
      </w:r>
      <w:r w:rsidR="00313197" w:rsidRPr="00313197">
        <w:rPr>
          <w:rFonts w:ascii="Calibri" w:hAnsi="Calibri" w:cs="Arial"/>
          <w:b/>
          <w:i/>
        </w:rPr>
        <w:t xml:space="preserve"> </w:t>
      </w:r>
    </w:p>
    <w:p w:rsidR="00313197" w:rsidRDefault="00313197" w:rsidP="00B14EB3">
      <w:pPr>
        <w:rPr>
          <w:rFonts w:ascii="Calibri" w:hAnsi="Calibri" w:cs="Arial"/>
        </w:rPr>
      </w:pPr>
      <w:r>
        <w:rPr>
          <w:rFonts w:ascii="Calibri" w:hAnsi="Calibri" w:cs="Arial"/>
        </w:rPr>
        <w:t>Public Sector Management Standards 2006</w:t>
      </w:r>
    </w:p>
    <w:p w:rsidR="00825BB2" w:rsidRPr="005F39C8" w:rsidRDefault="00825BB2" w:rsidP="004F7E74">
      <w:pPr>
        <w:jc w:val="both"/>
        <w:rPr>
          <w:rFonts w:ascii="Calibri" w:hAnsi="Calibri" w:cs="Arial"/>
          <w:b/>
          <w:i/>
          <w:sz w:val="20"/>
        </w:rPr>
      </w:pPr>
    </w:p>
    <w:p w:rsidR="00D36D3D" w:rsidRPr="00313197" w:rsidRDefault="00313197" w:rsidP="00B14EB3">
      <w:pPr>
        <w:rPr>
          <w:rFonts w:ascii="Calibri" w:hAnsi="Calibri" w:cs="Arial"/>
          <w:b/>
          <w:i/>
        </w:rPr>
      </w:pPr>
      <w:r w:rsidRPr="00313197">
        <w:rPr>
          <w:rFonts w:ascii="Calibri" w:hAnsi="Calibri" w:cs="Arial"/>
          <w:b/>
          <w:i/>
        </w:rPr>
        <w:t xml:space="preserve">Related </w:t>
      </w:r>
      <w:r>
        <w:rPr>
          <w:rFonts w:ascii="Calibri" w:hAnsi="Calibri" w:cs="Arial"/>
          <w:b/>
          <w:i/>
        </w:rPr>
        <w:t>P</w:t>
      </w:r>
      <w:r w:rsidRPr="00313197">
        <w:rPr>
          <w:rFonts w:ascii="Calibri" w:hAnsi="Calibri" w:cs="Arial"/>
          <w:b/>
          <w:i/>
        </w:rPr>
        <w:t>olicies</w:t>
      </w:r>
    </w:p>
    <w:p w:rsidR="00D36D3D" w:rsidRDefault="00CB0F3A" w:rsidP="00B14EB3">
      <w:pPr>
        <w:rPr>
          <w:rFonts w:ascii="Calibri" w:hAnsi="Calibri" w:cs="Arial"/>
        </w:rPr>
      </w:pPr>
      <w:r>
        <w:rPr>
          <w:rFonts w:ascii="Calibri" w:hAnsi="Calibri" w:cs="Arial"/>
        </w:rPr>
        <w:t>Health Directorate</w:t>
      </w:r>
      <w:r w:rsidR="00D36D3D" w:rsidRPr="00BA1192">
        <w:rPr>
          <w:rFonts w:ascii="Calibri" w:hAnsi="Calibri" w:cs="Arial"/>
        </w:rPr>
        <w:t xml:space="preserve"> </w:t>
      </w:r>
      <w:r w:rsidR="00D36D3D" w:rsidRPr="00BA1192">
        <w:rPr>
          <w:rFonts w:ascii="Calibri" w:hAnsi="Calibri" w:cs="Arial"/>
          <w:i/>
        </w:rPr>
        <w:t xml:space="preserve">Area of Need - Vacant Medical Positions - </w:t>
      </w:r>
      <w:r w:rsidR="00D36D3D">
        <w:rPr>
          <w:rFonts w:ascii="Calibri" w:hAnsi="Calibri" w:cs="Arial"/>
          <w:i/>
        </w:rPr>
        <w:t>Public and Private Sector (GPs E</w:t>
      </w:r>
      <w:r w:rsidR="00D36D3D" w:rsidRPr="00BA1192">
        <w:rPr>
          <w:rFonts w:ascii="Calibri" w:hAnsi="Calibri" w:cs="Arial"/>
          <w:i/>
        </w:rPr>
        <w:t xml:space="preserve">xcluded) </w:t>
      </w:r>
      <w:r w:rsidR="00D36D3D">
        <w:rPr>
          <w:rFonts w:ascii="Calibri" w:hAnsi="Calibri" w:cs="Arial"/>
        </w:rPr>
        <w:t>Policy and Procedures</w:t>
      </w:r>
    </w:p>
    <w:p w:rsidR="00D36D3D" w:rsidRDefault="00CB0F3A" w:rsidP="00B14EB3">
      <w:pPr>
        <w:rPr>
          <w:rFonts w:ascii="Calibri" w:hAnsi="Calibri" w:cs="Arial"/>
        </w:rPr>
      </w:pPr>
      <w:r>
        <w:rPr>
          <w:rFonts w:ascii="Calibri" w:hAnsi="Calibri" w:cs="Arial"/>
        </w:rPr>
        <w:t>Health Directorate</w:t>
      </w:r>
      <w:r w:rsidR="00D36D3D">
        <w:rPr>
          <w:rFonts w:ascii="Calibri" w:hAnsi="Calibri" w:cs="Arial"/>
        </w:rPr>
        <w:t xml:space="preserve"> </w:t>
      </w:r>
      <w:r w:rsidR="00D36D3D">
        <w:rPr>
          <w:rFonts w:ascii="Calibri" w:hAnsi="Calibri" w:cs="Arial"/>
          <w:i/>
        </w:rPr>
        <w:t xml:space="preserve">Appeal Panel </w:t>
      </w:r>
      <w:r w:rsidR="00D36D3D">
        <w:rPr>
          <w:rFonts w:ascii="Calibri" w:hAnsi="Calibri" w:cs="Arial"/>
        </w:rPr>
        <w:t>Policy</w:t>
      </w:r>
    </w:p>
    <w:p w:rsidR="00D36D3D" w:rsidRDefault="00CB0F3A" w:rsidP="00B14EB3">
      <w:pPr>
        <w:rPr>
          <w:rFonts w:ascii="Calibri" w:hAnsi="Calibri" w:cs="Arial"/>
        </w:rPr>
      </w:pPr>
      <w:r>
        <w:rPr>
          <w:rFonts w:ascii="Calibri" w:hAnsi="Calibri" w:cs="Arial"/>
        </w:rPr>
        <w:t>Health Directorate</w:t>
      </w:r>
      <w:r w:rsidR="00D36D3D">
        <w:rPr>
          <w:rFonts w:ascii="Calibri" w:hAnsi="Calibri" w:cs="Arial"/>
        </w:rPr>
        <w:t xml:space="preserve"> </w:t>
      </w:r>
      <w:r w:rsidR="00D36D3D">
        <w:rPr>
          <w:rFonts w:ascii="Calibri" w:hAnsi="Calibri" w:cs="Arial"/>
          <w:i/>
        </w:rPr>
        <w:t>Introduction of New Health Technology</w:t>
      </w:r>
      <w:r w:rsidR="00D36D3D">
        <w:rPr>
          <w:rFonts w:ascii="Calibri" w:hAnsi="Calibri" w:cs="Arial"/>
        </w:rPr>
        <w:t xml:space="preserve"> Policy</w:t>
      </w:r>
    </w:p>
    <w:p w:rsidR="00C84279" w:rsidRPr="00581B97" w:rsidRDefault="00CB0F3A" w:rsidP="00B14EB3">
      <w:pPr>
        <w:rPr>
          <w:rFonts w:ascii="Calibri" w:hAnsi="Calibri" w:cs="Arial"/>
          <w:i/>
        </w:rPr>
      </w:pPr>
      <w:r>
        <w:rPr>
          <w:rFonts w:ascii="Calibri" w:hAnsi="Calibri" w:cs="Arial"/>
          <w:lang w:val="en-US"/>
        </w:rPr>
        <w:t>Health Directorate</w:t>
      </w:r>
      <w:r w:rsidR="00C84279" w:rsidRPr="00C84279">
        <w:rPr>
          <w:rFonts w:ascii="Calibri" w:hAnsi="Calibri" w:cs="Arial"/>
          <w:lang w:val="en-US"/>
        </w:rPr>
        <w:t xml:space="preserve"> </w:t>
      </w:r>
      <w:r w:rsidR="00C84279" w:rsidRPr="00581B97">
        <w:rPr>
          <w:rFonts w:ascii="Calibri" w:hAnsi="Calibri" w:cs="Arial"/>
          <w:i/>
          <w:lang w:val="en-US"/>
        </w:rPr>
        <w:t>Complaints or Concerns about the Clinical Competence of a Doctor or Dentist Policy</w:t>
      </w:r>
      <w:r w:rsidR="00C84279" w:rsidRPr="00581B97">
        <w:rPr>
          <w:rFonts w:ascii="Calibri" w:hAnsi="Calibri" w:cs="Arial"/>
          <w:i/>
        </w:rPr>
        <w:t xml:space="preserve"> </w:t>
      </w:r>
    </w:p>
    <w:p w:rsidR="00D36D3D" w:rsidRDefault="00CB0F3A" w:rsidP="00B14EB3">
      <w:pPr>
        <w:rPr>
          <w:rFonts w:ascii="Calibri" w:hAnsi="Calibri" w:cs="Arial"/>
        </w:rPr>
      </w:pPr>
      <w:r>
        <w:rPr>
          <w:rFonts w:ascii="Calibri" w:hAnsi="Calibri" w:cs="Arial"/>
        </w:rPr>
        <w:t>Health Directorate</w:t>
      </w:r>
      <w:r w:rsidR="00D36D3D">
        <w:rPr>
          <w:rFonts w:ascii="Calibri" w:hAnsi="Calibri" w:cs="Arial"/>
        </w:rPr>
        <w:t xml:space="preserve"> </w:t>
      </w:r>
      <w:r w:rsidR="00D36D3D">
        <w:rPr>
          <w:rFonts w:ascii="Calibri" w:hAnsi="Calibri" w:cs="Arial"/>
          <w:i/>
        </w:rPr>
        <w:t>Performance Development and Review of Doctors and Dentists</w:t>
      </w:r>
      <w:r w:rsidR="00D36D3D">
        <w:rPr>
          <w:rFonts w:ascii="Calibri" w:hAnsi="Calibri" w:cs="Arial"/>
        </w:rPr>
        <w:t xml:space="preserve"> Policy </w:t>
      </w:r>
    </w:p>
    <w:p w:rsidR="00D36D3D" w:rsidRDefault="00CB0F3A" w:rsidP="00B14EB3">
      <w:pPr>
        <w:rPr>
          <w:rFonts w:ascii="Calibri" w:hAnsi="Calibri" w:cs="Arial"/>
        </w:rPr>
      </w:pPr>
      <w:r>
        <w:rPr>
          <w:rFonts w:ascii="Calibri" w:hAnsi="Calibri" w:cs="Arial"/>
        </w:rPr>
        <w:t>Health Directorate</w:t>
      </w:r>
      <w:r w:rsidR="00D36D3D">
        <w:rPr>
          <w:rFonts w:ascii="Calibri" w:hAnsi="Calibri" w:cs="Arial"/>
        </w:rPr>
        <w:t xml:space="preserve"> </w:t>
      </w:r>
      <w:r w:rsidR="00D36D3D">
        <w:rPr>
          <w:rFonts w:ascii="Calibri" w:hAnsi="Calibri" w:cs="Arial"/>
          <w:i/>
        </w:rPr>
        <w:t>Performance Management</w:t>
      </w:r>
      <w:r w:rsidR="00D36D3D">
        <w:rPr>
          <w:rFonts w:ascii="Calibri" w:hAnsi="Calibri" w:cs="Arial"/>
        </w:rPr>
        <w:t xml:space="preserve"> Policy</w:t>
      </w:r>
    </w:p>
    <w:p w:rsidR="00D36D3D" w:rsidRDefault="00CB0F3A" w:rsidP="00B14EB3">
      <w:pPr>
        <w:rPr>
          <w:rFonts w:ascii="Calibri" w:hAnsi="Calibri" w:cs="Arial"/>
        </w:rPr>
      </w:pPr>
      <w:r>
        <w:rPr>
          <w:rFonts w:ascii="Calibri" w:hAnsi="Calibri" w:cs="Arial"/>
        </w:rPr>
        <w:t>Health Directorate</w:t>
      </w:r>
      <w:r w:rsidR="00D36D3D">
        <w:rPr>
          <w:rFonts w:ascii="Calibri" w:hAnsi="Calibri" w:cs="Arial"/>
        </w:rPr>
        <w:t xml:space="preserve"> </w:t>
      </w:r>
      <w:r w:rsidR="00D36D3D">
        <w:rPr>
          <w:rFonts w:ascii="Calibri" w:hAnsi="Calibri" w:cs="Arial"/>
          <w:i/>
        </w:rPr>
        <w:t>Privacy and Confidentiality</w:t>
      </w:r>
      <w:r w:rsidR="00D36D3D">
        <w:rPr>
          <w:rFonts w:ascii="Calibri" w:hAnsi="Calibri" w:cs="Arial"/>
        </w:rPr>
        <w:t xml:space="preserve"> Policy</w:t>
      </w:r>
    </w:p>
    <w:p w:rsidR="00D36D3D" w:rsidRDefault="00CB0F3A" w:rsidP="00B14EB3">
      <w:pPr>
        <w:rPr>
          <w:rFonts w:ascii="Calibri" w:hAnsi="Calibri" w:cs="Arial"/>
        </w:rPr>
      </w:pPr>
      <w:r>
        <w:rPr>
          <w:rFonts w:ascii="Calibri" w:hAnsi="Calibri" w:cs="Arial"/>
        </w:rPr>
        <w:t>Health Directorate</w:t>
      </w:r>
      <w:r w:rsidR="00D36D3D">
        <w:rPr>
          <w:rFonts w:ascii="Calibri" w:hAnsi="Calibri" w:cs="Arial"/>
        </w:rPr>
        <w:t xml:space="preserve"> </w:t>
      </w:r>
      <w:r w:rsidR="00D36D3D">
        <w:rPr>
          <w:rFonts w:ascii="Calibri" w:hAnsi="Calibri" w:cs="Arial"/>
          <w:i/>
        </w:rPr>
        <w:t>Public Interest Disclosure</w:t>
      </w:r>
      <w:r w:rsidR="00D36D3D">
        <w:rPr>
          <w:rFonts w:ascii="Calibri" w:hAnsi="Calibri" w:cs="Arial"/>
        </w:rPr>
        <w:t xml:space="preserve"> Policy </w:t>
      </w:r>
    </w:p>
    <w:p w:rsidR="00D36D3D" w:rsidRDefault="00CB0F3A" w:rsidP="00B14EB3">
      <w:pPr>
        <w:rPr>
          <w:rFonts w:ascii="Calibri" w:hAnsi="Calibri" w:cs="Arial"/>
        </w:rPr>
      </w:pPr>
      <w:r>
        <w:rPr>
          <w:rFonts w:ascii="Calibri" w:hAnsi="Calibri" w:cs="Arial"/>
        </w:rPr>
        <w:t>Health Directorate</w:t>
      </w:r>
      <w:r w:rsidR="00D36D3D">
        <w:rPr>
          <w:rFonts w:ascii="Calibri" w:hAnsi="Calibri" w:cs="Arial"/>
        </w:rPr>
        <w:t xml:space="preserve"> </w:t>
      </w:r>
      <w:r w:rsidR="00D36D3D">
        <w:rPr>
          <w:rFonts w:ascii="Calibri" w:hAnsi="Calibri" w:cs="Arial"/>
          <w:i/>
        </w:rPr>
        <w:t xml:space="preserve">Recruitment </w:t>
      </w:r>
      <w:r w:rsidR="00D36D3D">
        <w:rPr>
          <w:rFonts w:ascii="Calibri" w:hAnsi="Calibri" w:cs="Arial"/>
        </w:rPr>
        <w:t>Policy</w:t>
      </w:r>
    </w:p>
    <w:p w:rsidR="00D36D3D" w:rsidRDefault="00CB0F3A" w:rsidP="00B14EB3">
      <w:pPr>
        <w:rPr>
          <w:rFonts w:ascii="Calibri" w:hAnsi="Calibri" w:cs="Arial"/>
        </w:rPr>
      </w:pPr>
      <w:r>
        <w:rPr>
          <w:rFonts w:ascii="Calibri" w:hAnsi="Calibri" w:cs="Arial"/>
        </w:rPr>
        <w:t>Health Directorate</w:t>
      </w:r>
      <w:r w:rsidR="00D36D3D">
        <w:rPr>
          <w:rFonts w:ascii="Calibri" w:hAnsi="Calibri" w:cs="Arial"/>
        </w:rPr>
        <w:t xml:space="preserve"> </w:t>
      </w:r>
      <w:r w:rsidR="00D36D3D">
        <w:rPr>
          <w:rFonts w:ascii="Calibri" w:hAnsi="Calibri" w:cs="Arial"/>
          <w:i/>
        </w:rPr>
        <w:t xml:space="preserve">Recruitment Advertising </w:t>
      </w:r>
      <w:r w:rsidR="00D36D3D">
        <w:rPr>
          <w:rFonts w:ascii="Calibri" w:hAnsi="Calibri" w:cs="Arial"/>
        </w:rPr>
        <w:t>Policy</w:t>
      </w:r>
    </w:p>
    <w:p w:rsidR="00D36D3D" w:rsidRDefault="00CB0F3A" w:rsidP="00B14EB3">
      <w:pPr>
        <w:rPr>
          <w:rFonts w:ascii="Calibri" w:hAnsi="Calibri" w:cs="Arial"/>
        </w:rPr>
      </w:pPr>
      <w:r>
        <w:rPr>
          <w:rFonts w:ascii="Calibri" w:hAnsi="Calibri" w:cs="Arial"/>
        </w:rPr>
        <w:t>Health Directorate</w:t>
      </w:r>
      <w:r w:rsidR="00D36D3D">
        <w:rPr>
          <w:rFonts w:ascii="Calibri" w:hAnsi="Calibri" w:cs="Arial"/>
        </w:rPr>
        <w:t xml:space="preserve"> </w:t>
      </w:r>
      <w:r w:rsidR="00D36D3D">
        <w:rPr>
          <w:rFonts w:ascii="Calibri" w:hAnsi="Calibri" w:cs="Arial"/>
          <w:i/>
        </w:rPr>
        <w:t xml:space="preserve">Working Together to Enhance our Performance </w:t>
      </w:r>
      <w:r w:rsidR="00D36D3D">
        <w:rPr>
          <w:rFonts w:ascii="Calibri" w:hAnsi="Calibri" w:cs="Arial"/>
        </w:rPr>
        <w:t>Policy</w:t>
      </w:r>
    </w:p>
    <w:p w:rsidR="00D36D3D" w:rsidRDefault="00CB0F3A" w:rsidP="00B14EB3">
      <w:pPr>
        <w:rPr>
          <w:rFonts w:ascii="Calibri" w:hAnsi="Calibri" w:cs="Arial"/>
        </w:rPr>
      </w:pPr>
      <w:r>
        <w:rPr>
          <w:rFonts w:ascii="Calibri" w:hAnsi="Calibri" w:cs="Arial"/>
        </w:rPr>
        <w:t>Health Directorate</w:t>
      </w:r>
      <w:r w:rsidR="00D36D3D">
        <w:rPr>
          <w:rFonts w:ascii="Calibri" w:hAnsi="Calibri" w:cs="Arial"/>
        </w:rPr>
        <w:t xml:space="preserve"> </w:t>
      </w:r>
      <w:r w:rsidR="00D36D3D">
        <w:rPr>
          <w:rFonts w:ascii="Calibri" w:hAnsi="Calibri" w:cs="Arial"/>
          <w:i/>
        </w:rPr>
        <w:t>Underperformance Management</w:t>
      </w:r>
      <w:r w:rsidR="00D36D3D">
        <w:rPr>
          <w:rFonts w:ascii="Calibri" w:hAnsi="Calibri" w:cs="Arial"/>
        </w:rPr>
        <w:t xml:space="preserve"> Policy </w:t>
      </w:r>
    </w:p>
    <w:p w:rsidR="00313197" w:rsidRDefault="00D36D3D" w:rsidP="00B14EB3">
      <w:pPr>
        <w:rPr>
          <w:rFonts w:asciiTheme="minorHAnsi" w:hAnsiTheme="minorHAnsi" w:cstheme="minorHAnsi"/>
          <w:szCs w:val="22"/>
        </w:rPr>
      </w:pPr>
      <w:r>
        <w:rPr>
          <w:rFonts w:ascii="Calibri" w:hAnsi="Calibri" w:cs="Arial"/>
        </w:rPr>
        <w:t xml:space="preserve">Mental Health ACT </w:t>
      </w:r>
      <w:r>
        <w:rPr>
          <w:rFonts w:ascii="Calibri" w:hAnsi="Calibri" w:cs="Arial"/>
          <w:i/>
        </w:rPr>
        <w:t>Appointment of Mental Health Officers (MOH)</w:t>
      </w:r>
      <w:r>
        <w:rPr>
          <w:rFonts w:ascii="Calibri" w:hAnsi="Calibri" w:cs="Arial"/>
        </w:rPr>
        <w:t xml:space="preserve"> Policy</w:t>
      </w:r>
      <w:r w:rsidR="00313197" w:rsidRPr="00313197">
        <w:rPr>
          <w:rFonts w:asciiTheme="minorHAnsi" w:hAnsiTheme="minorHAnsi" w:cstheme="minorHAnsi"/>
          <w:szCs w:val="22"/>
        </w:rPr>
        <w:t xml:space="preserve"> </w:t>
      </w:r>
      <w:r w:rsidR="00313197" w:rsidRPr="000A1351">
        <w:rPr>
          <w:rFonts w:asciiTheme="minorHAnsi" w:hAnsiTheme="minorHAnsi" w:cstheme="minorHAnsi"/>
          <w:szCs w:val="22"/>
        </w:rPr>
        <w:t>Human Resource Management policy</w:t>
      </w:r>
    </w:p>
    <w:p w:rsidR="00D55BEC" w:rsidRPr="005F39C8" w:rsidRDefault="00D55BEC" w:rsidP="00B14EB3">
      <w:pPr>
        <w:rPr>
          <w:rFonts w:asciiTheme="minorHAnsi" w:hAnsiTheme="minorHAnsi" w:cstheme="minorHAnsi"/>
          <w:sz w:val="20"/>
          <w:szCs w:val="22"/>
        </w:rPr>
      </w:pPr>
    </w:p>
    <w:p w:rsidR="00313197" w:rsidRPr="00B16570" w:rsidRDefault="00313197" w:rsidP="00B14EB3">
      <w:pPr>
        <w:rPr>
          <w:rFonts w:ascii="Calibri" w:hAnsi="Calibri" w:cs="Arial"/>
          <w:b/>
          <w:i/>
        </w:rPr>
      </w:pPr>
      <w:r w:rsidRPr="00B16570">
        <w:rPr>
          <w:rFonts w:ascii="Calibri" w:hAnsi="Calibri" w:cs="Arial"/>
          <w:b/>
          <w:i/>
        </w:rPr>
        <w:t>Visiting Medical Officer (VMO) Agreements</w:t>
      </w:r>
    </w:p>
    <w:p w:rsidR="00313197" w:rsidRDefault="00313197" w:rsidP="00B14EB3">
      <w:pPr>
        <w:rPr>
          <w:rFonts w:ascii="Calibri" w:hAnsi="Calibri" w:cs="Arial"/>
        </w:rPr>
      </w:pPr>
      <w:r>
        <w:rPr>
          <w:rFonts w:ascii="Calibri" w:hAnsi="Calibri" w:cs="Arial"/>
        </w:rPr>
        <w:t xml:space="preserve">ACT </w:t>
      </w:r>
      <w:r w:rsidR="00980EFA">
        <w:rPr>
          <w:rFonts w:ascii="Calibri" w:hAnsi="Calibri" w:cs="Arial"/>
        </w:rPr>
        <w:t xml:space="preserve">Individual Sessional </w:t>
      </w:r>
      <w:r w:rsidRPr="00BA1192">
        <w:rPr>
          <w:rFonts w:ascii="Calibri" w:hAnsi="Calibri" w:cs="Arial"/>
        </w:rPr>
        <w:t xml:space="preserve">VMO Agreement </w:t>
      </w:r>
      <w:r>
        <w:rPr>
          <w:rFonts w:ascii="Calibri" w:hAnsi="Calibri" w:cs="Arial"/>
        </w:rPr>
        <w:t>2010</w:t>
      </w:r>
    </w:p>
    <w:p w:rsidR="000B2B4D" w:rsidRPr="00BA1192" w:rsidRDefault="00CB0F3A" w:rsidP="00B14EB3">
      <w:pPr>
        <w:rPr>
          <w:rFonts w:ascii="Calibri" w:hAnsi="Calibri" w:cs="Arial"/>
        </w:rPr>
      </w:pPr>
      <w:r>
        <w:rPr>
          <w:rFonts w:ascii="Calibri" w:hAnsi="Calibri" w:cs="Arial"/>
        </w:rPr>
        <w:t>Health Directorate</w:t>
      </w:r>
      <w:r w:rsidR="000B2B4D">
        <w:rPr>
          <w:rFonts w:ascii="Calibri" w:hAnsi="Calibri" w:cs="Arial"/>
        </w:rPr>
        <w:t xml:space="preserve"> (VMO Core Conditions) Determination 2010 (No 1) Notifiable Instrument NI2010-312</w:t>
      </w:r>
    </w:p>
    <w:p w:rsidR="00D36D3D" w:rsidRPr="00825BB2" w:rsidRDefault="00D36D3D" w:rsidP="004F7E74">
      <w:pPr>
        <w:jc w:val="both"/>
        <w:rPr>
          <w:rFonts w:ascii="Calibri" w:hAnsi="Calibri" w:cs="Arial"/>
          <w:sz w:val="20"/>
        </w:rPr>
      </w:pPr>
    </w:p>
    <w:p w:rsidR="00D36D3D" w:rsidRDefault="00D36D3D" w:rsidP="00B14EB3">
      <w:pPr>
        <w:rPr>
          <w:rFonts w:ascii="Calibri" w:hAnsi="Calibri" w:cs="Arial"/>
          <w:b/>
          <w:i/>
        </w:rPr>
      </w:pPr>
      <w:r w:rsidRPr="00D55BEC">
        <w:rPr>
          <w:rFonts w:ascii="Calibri" w:hAnsi="Calibri" w:cs="Arial"/>
          <w:b/>
          <w:i/>
        </w:rPr>
        <w:t>Certified Agreements</w:t>
      </w:r>
    </w:p>
    <w:p w:rsidR="00D36D3D" w:rsidRDefault="00090288" w:rsidP="00B14EB3">
      <w:pPr>
        <w:rPr>
          <w:rFonts w:ascii="Calibri" w:hAnsi="Calibri" w:cs="Arial"/>
        </w:rPr>
      </w:pPr>
      <w:hyperlink r:id="rId15" w:history="1">
        <w:r w:rsidR="00D36D3D" w:rsidRPr="00D36D3D">
          <w:rPr>
            <w:rFonts w:ascii="Calibri" w:hAnsi="Calibri" w:cs="Arial"/>
          </w:rPr>
          <w:t xml:space="preserve">ACT Public </w:t>
        </w:r>
        <w:r w:rsidR="000B2B4D">
          <w:rPr>
            <w:rFonts w:ascii="Calibri" w:hAnsi="Calibri" w:cs="Arial"/>
          </w:rPr>
          <w:t xml:space="preserve">Service </w:t>
        </w:r>
        <w:r w:rsidR="00D36D3D" w:rsidRPr="00D36D3D">
          <w:rPr>
            <w:rFonts w:ascii="Calibri" w:hAnsi="Calibri" w:cs="Arial"/>
          </w:rPr>
          <w:t xml:space="preserve">Medical Practitioners </w:t>
        </w:r>
        <w:r w:rsidR="000B2B4D">
          <w:rPr>
            <w:rFonts w:ascii="Calibri" w:hAnsi="Calibri" w:cs="Arial"/>
          </w:rPr>
          <w:t>Enterprise</w:t>
        </w:r>
        <w:r w:rsidR="00D36D3D" w:rsidRPr="00D36D3D">
          <w:rPr>
            <w:rFonts w:ascii="Calibri" w:hAnsi="Calibri" w:cs="Arial"/>
          </w:rPr>
          <w:t xml:space="preserve"> Agreement 20</w:t>
        </w:r>
        <w:r w:rsidR="000B2B4D">
          <w:rPr>
            <w:rFonts w:ascii="Calibri" w:hAnsi="Calibri" w:cs="Arial"/>
          </w:rPr>
          <w:t>11</w:t>
        </w:r>
        <w:r w:rsidR="00D36D3D" w:rsidRPr="00D36D3D">
          <w:rPr>
            <w:rFonts w:ascii="Calibri" w:hAnsi="Calibri" w:cs="Arial"/>
          </w:rPr>
          <w:t>-201</w:t>
        </w:r>
      </w:hyperlink>
      <w:r w:rsidR="000B2B4D" w:rsidRPr="000B2B4D">
        <w:rPr>
          <w:rFonts w:ascii="Calibri" w:hAnsi="Calibri" w:cs="Arial"/>
        </w:rPr>
        <w:t>3</w:t>
      </w:r>
      <w:r w:rsidR="00D36D3D">
        <w:rPr>
          <w:rFonts w:ascii="Calibri" w:hAnsi="Calibri" w:cs="Arial"/>
        </w:rPr>
        <w:t xml:space="preserve"> </w:t>
      </w:r>
    </w:p>
    <w:p w:rsidR="000B2B4D" w:rsidRDefault="000B2B4D" w:rsidP="00B14EB3">
      <w:pPr>
        <w:rPr>
          <w:rFonts w:ascii="Calibri" w:hAnsi="Calibri" w:cs="Arial"/>
        </w:rPr>
      </w:pPr>
      <w:r>
        <w:rPr>
          <w:rFonts w:ascii="Calibri" w:hAnsi="Calibri" w:cs="Arial"/>
        </w:rPr>
        <w:t>ACT Public Service Health Directorate (Health Professionals) Enterprise Agreement 2011-2013</w:t>
      </w:r>
    </w:p>
    <w:tbl>
      <w:tblPr>
        <w:tblpPr w:leftFromText="180" w:rightFromText="180" w:vertAnchor="text" w:horzAnchor="margin" w:tblpX="108" w:tblpY="181"/>
        <w:tblW w:w="9158" w:type="dxa"/>
        <w:shd w:val="clear" w:color="auto" w:fill="000000"/>
        <w:tblLook w:val="0000"/>
      </w:tblPr>
      <w:tblGrid>
        <w:gridCol w:w="9158"/>
      </w:tblGrid>
      <w:tr w:rsidR="00D55BEC" w:rsidRPr="001B2BAC" w:rsidTr="00EF609E">
        <w:trPr>
          <w:cantSplit/>
          <w:trHeight w:val="285"/>
        </w:trPr>
        <w:tc>
          <w:tcPr>
            <w:tcW w:w="9158" w:type="dxa"/>
            <w:shd w:val="clear" w:color="auto" w:fill="000000"/>
          </w:tcPr>
          <w:p w:rsidR="00D55BEC" w:rsidRPr="001502DF" w:rsidRDefault="00D55BEC" w:rsidP="00EF609E">
            <w:pPr>
              <w:spacing w:before="40" w:after="40"/>
              <w:rPr>
                <w:rFonts w:ascii="Calibri" w:hAnsi="Calibri" w:cs="Arial"/>
                <w:b/>
                <w:szCs w:val="24"/>
              </w:rPr>
            </w:pPr>
            <w:r>
              <w:rPr>
                <w:rFonts w:ascii="Calibri" w:hAnsi="Calibri" w:cs="Arial"/>
                <w:b/>
                <w:szCs w:val="24"/>
              </w:rPr>
              <w:lastRenderedPageBreak/>
              <w:t xml:space="preserve">Definition of Terms </w:t>
            </w:r>
          </w:p>
        </w:tc>
      </w:tr>
    </w:tbl>
    <w:p w:rsidR="00D55BEC" w:rsidRPr="005F39C8" w:rsidRDefault="00D55BEC" w:rsidP="00D55BEC">
      <w:pPr>
        <w:jc w:val="both"/>
        <w:rPr>
          <w:rFonts w:ascii="Calibri" w:hAnsi="Calibri" w:cs="Arial"/>
          <w:b/>
          <w:sz w:val="20"/>
          <w:szCs w:val="24"/>
        </w:rPr>
      </w:pPr>
    </w:p>
    <w:p w:rsidR="00D55BEC" w:rsidRDefault="00D55BEC" w:rsidP="00D55BEC">
      <w:pPr>
        <w:jc w:val="both"/>
        <w:rPr>
          <w:rFonts w:ascii="Calibri" w:hAnsi="Calibri" w:cs="Arial"/>
        </w:rPr>
      </w:pPr>
      <w:r>
        <w:rPr>
          <w:rFonts w:ascii="Calibri" w:hAnsi="Calibri" w:cs="Arial"/>
        </w:rPr>
        <w:t>In this policy, unless otherwise indicated:</w:t>
      </w:r>
    </w:p>
    <w:p w:rsidR="00D55BEC" w:rsidRPr="00825BB2" w:rsidRDefault="00D55BEC" w:rsidP="00D55BEC">
      <w:pPr>
        <w:jc w:val="both"/>
        <w:rPr>
          <w:rFonts w:ascii="Calibri" w:hAnsi="Calibri" w:cs="Arial"/>
          <w:sz w:val="20"/>
        </w:rPr>
      </w:pPr>
    </w:p>
    <w:p w:rsidR="00D55BEC" w:rsidRPr="00980EFA" w:rsidRDefault="00D55BEC" w:rsidP="00D55BEC">
      <w:pPr>
        <w:rPr>
          <w:rFonts w:ascii="Calibri" w:hAnsi="Calibri" w:cs="Arial"/>
          <w:b/>
          <w:i/>
        </w:rPr>
      </w:pPr>
      <w:r w:rsidRPr="005009C7">
        <w:rPr>
          <w:rFonts w:ascii="Calibri" w:hAnsi="Calibri" w:cs="Arial"/>
          <w:b/>
          <w:i/>
        </w:rPr>
        <w:t>Appointment</w:t>
      </w:r>
      <w:r w:rsidRPr="005009C7">
        <w:rPr>
          <w:rFonts w:ascii="Calibri" w:hAnsi="Calibri" w:cs="Arial"/>
        </w:rPr>
        <w:t xml:space="preserve"> - </w:t>
      </w:r>
      <w:r>
        <w:rPr>
          <w:rFonts w:ascii="Calibri" w:hAnsi="Calibri" w:cs="Arial"/>
        </w:rPr>
        <w:t>means the</w:t>
      </w:r>
      <w:r w:rsidRPr="005009C7">
        <w:rPr>
          <w:rFonts w:ascii="Calibri" w:hAnsi="Calibri" w:cs="Arial"/>
        </w:rPr>
        <w:t xml:space="preserve"> employment or engagement of a </w:t>
      </w:r>
      <w:r w:rsidR="00211502">
        <w:rPr>
          <w:rFonts w:ascii="Calibri" w:hAnsi="Calibri" w:cs="Arial"/>
        </w:rPr>
        <w:t>doctor or dentist</w:t>
      </w:r>
      <w:r w:rsidRPr="005009C7">
        <w:rPr>
          <w:rFonts w:ascii="Calibri" w:hAnsi="Calibri" w:cs="Arial"/>
        </w:rPr>
        <w:t xml:space="preserve"> to provide services within</w:t>
      </w:r>
      <w:r>
        <w:rPr>
          <w:rFonts w:ascii="Calibri" w:hAnsi="Calibri" w:cs="Arial"/>
        </w:rPr>
        <w:t xml:space="preserve"> </w:t>
      </w:r>
      <w:r w:rsidRPr="005009C7">
        <w:rPr>
          <w:rFonts w:ascii="Calibri" w:hAnsi="Calibri" w:cs="Arial"/>
        </w:rPr>
        <w:t>an organisation according to conditions defined by general law and supplemented by</w:t>
      </w:r>
      <w:r>
        <w:rPr>
          <w:rFonts w:ascii="Calibri" w:hAnsi="Calibri" w:cs="Arial"/>
        </w:rPr>
        <w:t xml:space="preserve"> </w:t>
      </w:r>
      <w:r w:rsidRPr="005009C7">
        <w:rPr>
          <w:rFonts w:ascii="Calibri" w:hAnsi="Calibri" w:cs="Arial"/>
        </w:rPr>
        <w:t>contract (</w:t>
      </w:r>
      <w:r>
        <w:rPr>
          <w:rFonts w:ascii="Calibri" w:hAnsi="Calibri" w:cs="Arial"/>
          <w:sz w:val="22"/>
          <w:szCs w:val="22"/>
        </w:rPr>
        <w:t>ACSQHC, 2004).</w:t>
      </w:r>
    </w:p>
    <w:p w:rsidR="00D55BEC" w:rsidRPr="00825BB2" w:rsidRDefault="00D55BEC" w:rsidP="00D55BEC">
      <w:pPr>
        <w:jc w:val="both"/>
        <w:rPr>
          <w:rFonts w:ascii="Calibri" w:hAnsi="Calibri" w:cs="Arial"/>
          <w:sz w:val="20"/>
          <w:szCs w:val="22"/>
        </w:rPr>
      </w:pPr>
    </w:p>
    <w:p w:rsidR="00D55BEC" w:rsidRDefault="00D55BEC" w:rsidP="00D55BEC">
      <w:pPr>
        <w:rPr>
          <w:rFonts w:ascii="Calibri" w:hAnsi="Calibri" w:cs="Arial"/>
        </w:rPr>
      </w:pPr>
      <w:r>
        <w:rPr>
          <w:rFonts w:ascii="Calibri" w:hAnsi="Calibri" w:cs="Arial"/>
          <w:b/>
          <w:i/>
        </w:rPr>
        <w:t xml:space="preserve">Career Medical Officer </w:t>
      </w:r>
      <w:r>
        <w:rPr>
          <w:rFonts w:ascii="Calibri" w:hAnsi="Calibri" w:cs="Arial"/>
        </w:rPr>
        <w:t>- the Australian Institute of Health and Welfare (AIHW) groups Career Medical Officers (CMOs) within the “hospital non-specialist” workforce, which includes doctors in training (i.e., Interns and Resident Medical Officers), Hospital Medical Officers and Other Salaried Hospital Doctors who are not specialists nor in recognised training programs to become specialists. Specifically, this category excludes doctors occupying specialist positions and specialist-in-training positions.</w:t>
      </w:r>
    </w:p>
    <w:p w:rsidR="00D55BEC" w:rsidRPr="00825BB2" w:rsidRDefault="00D55BEC" w:rsidP="00D55BEC">
      <w:pPr>
        <w:jc w:val="both"/>
        <w:rPr>
          <w:rFonts w:ascii="Calibri" w:hAnsi="Calibri" w:cs="Arial"/>
          <w:sz w:val="20"/>
        </w:rPr>
      </w:pPr>
    </w:p>
    <w:p w:rsidR="00D55BEC" w:rsidRDefault="00D55BEC" w:rsidP="00D55BEC">
      <w:pPr>
        <w:rPr>
          <w:rFonts w:ascii="Calibri" w:hAnsi="Calibri" w:cs="Arial"/>
        </w:rPr>
      </w:pPr>
      <w:r w:rsidRPr="005009C7">
        <w:rPr>
          <w:rFonts w:ascii="Calibri" w:hAnsi="Calibri" w:cs="Arial"/>
          <w:b/>
          <w:i/>
        </w:rPr>
        <w:t xml:space="preserve">Clinical </w:t>
      </w:r>
      <w:r>
        <w:rPr>
          <w:rFonts w:ascii="Calibri" w:hAnsi="Calibri" w:cs="Arial"/>
          <w:b/>
          <w:i/>
        </w:rPr>
        <w:t>p</w:t>
      </w:r>
      <w:r w:rsidRPr="005009C7">
        <w:rPr>
          <w:rFonts w:ascii="Calibri" w:hAnsi="Calibri" w:cs="Arial"/>
          <w:b/>
          <w:i/>
        </w:rPr>
        <w:t>ractice</w:t>
      </w:r>
      <w:r>
        <w:rPr>
          <w:rFonts w:ascii="Calibri" w:hAnsi="Calibri" w:cs="Arial"/>
          <w:b/>
          <w:i/>
        </w:rPr>
        <w:t xml:space="preserve"> </w:t>
      </w:r>
      <w:r>
        <w:rPr>
          <w:rFonts w:ascii="Calibri" w:hAnsi="Calibri" w:cs="Arial"/>
        </w:rPr>
        <w:t>-</w:t>
      </w:r>
      <w:r w:rsidRPr="005009C7">
        <w:rPr>
          <w:rFonts w:ascii="Calibri" w:hAnsi="Calibri" w:cs="Arial"/>
        </w:rPr>
        <w:t xml:space="preserve"> </w:t>
      </w:r>
      <w:r>
        <w:rPr>
          <w:rFonts w:ascii="Calibri" w:hAnsi="Calibri" w:cs="Arial"/>
        </w:rPr>
        <w:t>means t</w:t>
      </w:r>
      <w:r w:rsidRPr="005009C7">
        <w:rPr>
          <w:rFonts w:ascii="Calibri" w:hAnsi="Calibri" w:cs="Arial"/>
        </w:rPr>
        <w:t xml:space="preserve">he professional activity undertaken by </w:t>
      </w:r>
      <w:r w:rsidR="00211502">
        <w:rPr>
          <w:rFonts w:ascii="Calibri" w:hAnsi="Calibri" w:cs="Arial"/>
        </w:rPr>
        <w:t>doctors or dentists</w:t>
      </w:r>
      <w:r w:rsidRPr="005009C7">
        <w:rPr>
          <w:rFonts w:ascii="Calibri" w:hAnsi="Calibri" w:cs="Arial"/>
        </w:rPr>
        <w:t xml:space="preserve"> for the purposes of</w:t>
      </w:r>
      <w:r>
        <w:rPr>
          <w:rFonts w:ascii="Calibri" w:hAnsi="Calibri" w:cs="Arial"/>
        </w:rPr>
        <w:t xml:space="preserve"> </w:t>
      </w:r>
      <w:r w:rsidRPr="005009C7">
        <w:rPr>
          <w:rFonts w:ascii="Calibri" w:hAnsi="Calibri" w:cs="Arial"/>
        </w:rPr>
        <w:t>investigating patient symptoms and preventing and/or managing illness, together</w:t>
      </w:r>
      <w:r>
        <w:rPr>
          <w:rFonts w:ascii="Calibri" w:hAnsi="Calibri" w:cs="Arial"/>
        </w:rPr>
        <w:t xml:space="preserve"> </w:t>
      </w:r>
      <w:r w:rsidRPr="005009C7">
        <w:rPr>
          <w:rFonts w:ascii="Calibri" w:hAnsi="Calibri" w:cs="Arial"/>
        </w:rPr>
        <w:t>with associated professional activities related to patient</w:t>
      </w:r>
      <w:r>
        <w:rPr>
          <w:rFonts w:ascii="Calibri" w:hAnsi="Calibri" w:cs="Arial"/>
        </w:rPr>
        <w:t xml:space="preserve"> care (ACSQHC, 2004).</w:t>
      </w:r>
    </w:p>
    <w:p w:rsidR="00D55BEC" w:rsidRPr="00736037" w:rsidRDefault="00D55BEC" w:rsidP="00D55BEC">
      <w:pPr>
        <w:jc w:val="both"/>
        <w:rPr>
          <w:rFonts w:ascii="Calibri" w:hAnsi="Calibri" w:cs="Arial"/>
          <w:sz w:val="20"/>
        </w:rPr>
      </w:pPr>
    </w:p>
    <w:p w:rsidR="00D55BEC" w:rsidRDefault="00251FD6" w:rsidP="00D55BEC">
      <w:pPr>
        <w:rPr>
          <w:rFonts w:ascii="Calibri" w:hAnsi="Calibri" w:cs="Arial"/>
          <w:sz w:val="22"/>
          <w:szCs w:val="22"/>
        </w:rPr>
      </w:pPr>
      <w:r>
        <w:rPr>
          <w:rFonts w:ascii="Calibri" w:hAnsi="Calibri" w:cs="Arial"/>
          <w:b/>
          <w:i/>
        </w:rPr>
        <w:t>Credentialing</w:t>
      </w:r>
      <w:r w:rsidR="00D55BEC" w:rsidRPr="005009C7">
        <w:rPr>
          <w:rFonts w:ascii="Calibri" w:hAnsi="Calibri" w:cs="Arial"/>
        </w:rPr>
        <w:t xml:space="preserve"> - </w:t>
      </w:r>
      <w:r w:rsidR="00D55BEC" w:rsidRPr="005009C7">
        <w:rPr>
          <w:rFonts w:ascii="Calibri" w:hAnsi="Calibri" w:cs="CorporateSBQ-Light"/>
        </w:rPr>
        <w:t xml:space="preserve">means the formal process used to verify the qualifications, experience, professional standing and other relevant professional attributes of </w:t>
      </w:r>
      <w:r w:rsidR="00D55BEC" w:rsidRPr="00211502">
        <w:rPr>
          <w:rFonts w:ascii="Calibri" w:hAnsi="Calibri" w:cs="CorporateSBQ-Light"/>
        </w:rPr>
        <w:t>a doctor or dentist for the purpose of forming a view</w:t>
      </w:r>
      <w:r w:rsidR="00D55BEC" w:rsidRPr="00211502">
        <w:rPr>
          <w:rFonts w:ascii="Calibri" w:hAnsi="Calibri" w:cs="Arial"/>
        </w:rPr>
        <w:t xml:space="preserve"> about the competence, performance and professional suitability of the doctor or dentist to </w:t>
      </w:r>
      <w:r w:rsidR="00D55BEC" w:rsidRPr="00211502">
        <w:rPr>
          <w:rFonts w:ascii="Calibri" w:hAnsi="Calibri" w:cs="CorporateSBQ-Light"/>
        </w:rPr>
        <w:t>provide safe, high qua</w:t>
      </w:r>
      <w:r w:rsidR="00D55BEC" w:rsidRPr="005009C7">
        <w:rPr>
          <w:rFonts w:ascii="Calibri" w:hAnsi="Calibri" w:cs="CorporateSBQ-Light"/>
        </w:rPr>
        <w:t>lity health care services within a spec</w:t>
      </w:r>
      <w:r w:rsidR="00D55BEC">
        <w:rPr>
          <w:rFonts w:ascii="Calibri" w:hAnsi="Calibri" w:cs="CorporateSBQ-Light"/>
        </w:rPr>
        <w:t xml:space="preserve">ific organisational environment </w:t>
      </w:r>
      <w:r w:rsidR="00D55BEC">
        <w:rPr>
          <w:rFonts w:ascii="Calibri" w:hAnsi="Calibri" w:cs="Arial"/>
          <w:sz w:val="22"/>
          <w:szCs w:val="22"/>
        </w:rPr>
        <w:t>(ACSQHC, 2004).</w:t>
      </w:r>
    </w:p>
    <w:p w:rsidR="00D55BEC" w:rsidRPr="00825BB2" w:rsidRDefault="00D55BEC" w:rsidP="00D55BEC">
      <w:pPr>
        <w:jc w:val="both"/>
        <w:rPr>
          <w:rFonts w:ascii="Calibri" w:hAnsi="Calibri" w:cs="Arial"/>
          <w:sz w:val="20"/>
        </w:rPr>
      </w:pPr>
    </w:p>
    <w:p w:rsidR="00D55BEC" w:rsidRDefault="00D55BEC" w:rsidP="00D55BEC">
      <w:pPr>
        <w:rPr>
          <w:rFonts w:ascii="Calibri" w:hAnsi="Calibri" w:cs="Arial"/>
        </w:rPr>
      </w:pPr>
      <w:r w:rsidRPr="00A85D40">
        <w:rPr>
          <w:rFonts w:ascii="Calibri" w:hAnsi="Calibri" w:cs="Arial"/>
          <w:b/>
          <w:i/>
        </w:rPr>
        <w:t>Credentials</w:t>
      </w:r>
      <w:r>
        <w:rPr>
          <w:rFonts w:ascii="Calibri" w:hAnsi="Calibri" w:cs="Arial"/>
          <w:lang w:val="en-US"/>
        </w:rPr>
        <w:t xml:space="preserve"> - means t</w:t>
      </w:r>
      <w:r w:rsidRPr="00A85D40">
        <w:rPr>
          <w:rFonts w:ascii="Calibri" w:hAnsi="Calibri" w:cs="Arial"/>
          <w:lang w:val="en-US"/>
        </w:rPr>
        <w:t>he qualifications, professional training, clinical experience, and training and</w:t>
      </w:r>
      <w:r>
        <w:rPr>
          <w:rFonts w:ascii="Calibri" w:hAnsi="Calibri" w:cs="Arial"/>
          <w:lang w:val="en-US"/>
        </w:rPr>
        <w:t xml:space="preserve"> </w:t>
      </w:r>
      <w:r w:rsidRPr="00A85D40">
        <w:rPr>
          <w:rFonts w:ascii="Calibri" w:hAnsi="Calibri" w:cs="Arial"/>
          <w:lang w:val="en-US"/>
        </w:rPr>
        <w:t>experience in leadership, research, education, communication and teamwork that</w:t>
      </w:r>
      <w:r>
        <w:rPr>
          <w:rFonts w:ascii="Calibri" w:hAnsi="Calibri" w:cs="Arial"/>
          <w:lang w:val="en-US"/>
        </w:rPr>
        <w:t xml:space="preserve"> </w:t>
      </w:r>
      <w:r w:rsidRPr="00A85D40">
        <w:rPr>
          <w:rFonts w:ascii="Calibri" w:hAnsi="Calibri" w:cs="Arial"/>
          <w:lang w:val="en-US"/>
        </w:rPr>
        <w:t xml:space="preserve">contribute to a </w:t>
      </w:r>
      <w:r w:rsidR="00211502">
        <w:rPr>
          <w:rFonts w:ascii="Calibri" w:hAnsi="Calibri" w:cs="Arial"/>
          <w:lang w:val="en-US"/>
        </w:rPr>
        <w:t>doctor</w:t>
      </w:r>
      <w:r>
        <w:rPr>
          <w:rFonts w:ascii="Calibri" w:hAnsi="Calibri" w:cs="Arial"/>
          <w:lang w:val="en-US"/>
        </w:rPr>
        <w:t>’s</w:t>
      </w:r>
      <w:r w:rsidRPr="00A85D40">
        <w:rPr>
          <w:rFonts w:ascii="Calibri" w:hAnsi="Calibri" w:cs="Arial"/>
          <w:lang w:val="en-US"/>
        </w:rPr>
        <w:t xml:space="preserve"> </w:t>
      </w:r>
      <w:r w:rsidR="00211502">
        <w:rPr>
          <w:rFonts w:ascii="Calibri" w:hAnsi="Calibri" w:cs="Arial"/>
          <w:lang w:val="en-US"/>
        </w:rPr>
        <w:t xml:space="preserve">or dentist’s </w:t>
      </w:r>
      <w:r w:rsidRPr="00A85D40">
        <w:rPr>
          <w:rFonts w:ascii="Calibri" w:hAnsi="Calibri" w:cs="Arial"/>
          <w:lang w:val="en-US"/>
        </w:rPr>
        <w:t>competence, performance and professional</w:t>
      </w:r>
      <w:r>
        <w:rPr>
          <w:rFonts w:ascii="Calibri" w:hAnsi="Calibri" w:cs="Arial"/>
          <w:lang w:val="en-US"/>
        </w:rPr>
        <w:t xml:space="preserve"> </w:t>
      </w:r>
      <w:r w:rsidRPr="00A85D40">
        <w:rPr>
          <w:rFonts w:ascii="Calibri" w:hAnsi="Calibri" w:cs="Arial"/>
          <w:lang w:val="en-US"/>
        </w:rPr>
        <w:t>suitability to provide safe, high quality health care services.</w:t>
      </w:r>
      <w:r>
        <w:rPr>
          <w:rFonts w:ascii="Calibri" w:hAnsi="Calibri" w:cs="Arial"/>
          <w:lang w:val="en-US"/>
        </w:rPr>
        <w:t xml:space="preserve"> </w:t>
      </w:r>
      <w:r w:rsidRPr="00A85D40">
        <w:rPr>
          <w:rFonts w:ascii="Calibri" w:hAnsi="Calibri" w:cs="Arial"/>
          <w:lang w:val="en-US"/>
        </w:rPr>
        <w:t xml:space="preserve">For the purposes of this </w:t>
      </w:r>
      <w:r>
        <w:rPr>
          <w:rFonts w:ascii="Calibri" w:hAnsi="Calibri" w:cs="Arial"/>
          <w:lang w:val="en-US"/>
        </w:rPr>
        <w:t xml:space="preserve">policy, a </w:t>
      </w:r>
      <w:r w:rsidR="00211502">
        <w:rPr>
          <w:rFonts w:ascii="Calibri" w:hAnsi="Calibri" w:cs="Arial"/>
          <w:lang w:val="en-US"/>
        </w:rPr>
        <w:t xml:space="preserve">doctor’s or dentist’s </w:t>
      </w:r>
      <w:r w:rsidRPr="00A85D40">
        <w:rPr>
          <w:rFonts w:ascii="Calibri" w:hAnsi="Calibri" w:cs="Arial"/>
          <w:lang w:val="en-US"/>
        </w:rPr>
        <w:t>histor</w:t>
      </w:r>
      <w:r>
        <w:rPr>
          <w:rFonts w:ascii="Calibri" w:hAnsi="Calibri" w:cs="Arial"/>
          <w:lang w:val="en-US"/>
        </w:rPr>
        <w:t>y</w:t>
      </w:r>
      <w:r w:rsidRPr="00A85D40">
        <w:rPr>
          <w:rFonts w:ascii="Calibri" w:hAnsi="Calibri" w:cs="Arial"/>
          <w:lang w:val="en-US"/>
        </w:rPr>
        <w:t xml:space="preserve"> of</w:t>
      </w:r>
      <w:r>
        <w:rPr>
          <w:rFonts w:ascii="Calibri" w:hAnsi="Calibri" w:cs="Arial"/>
          <w:lang w:val="en-US"/>
        </w:rPr>
        <w:t>,</w:t>
      </w:r>
      <w:r w:rsidRPr="00A85D40">
        <w:rPr>
          <w:rFonts w:ascii="Calibri" w:hAnsi="Calibri" w:cs="Arial"/>
          <w:lang w:val="en-US"/>
        </w:rPr>
        <w:t xml:space="preserve"> and current</w:t>
      </w:r>
      <w:r>
        <w:rPr>
          <w:rFonts w:ascii="Calibri" w:hAnsi="Calibri" w:cs="Arial"/>
          <w:lang w:val="en-US"/>
        </w:rPr>
        <w:t xml:space="preserve"> </w:t>
      </w:r>
      <w:r w:rsidRPr="00A85D40">
        <w:rPr>
          <w:rFonts w:ascii="Calibri" w:hAnsi="Calibri" w:cs="Arial"/>
          <w:lang w:val="en-US"/>
        </w:rPr>
        <w:t>status with respect to</w:t>
      </w:r>
      <w:r>
        <w:rPr>
          <w:rFonts w:ascii="Calibri" w:hAnsi="Calibri" w:cs="Arial"/>
          <w:lang w:val="en-US"/>
        </w:rPr>
        <w:t>,</w:t>
      </w:r>
      <w:r w:rsidRPr="00A85D40">
        <w:rPr>
          <w:rFonts w:ascii="Calibri" w:hAnsi="Calibri" w:cs="Arial"/>
          <w:lang w:val="en-US"/>
        </w:rPr>
        <w:t xml:space="preserve"> professional registration, disciplinary actions, indemnity</w:t>
      </w:r>
      <w:r>
        <w:rPr>
          <w:rFonts w:ascii="Calibri" w:hAnsi="Calibri" w:cs="Arial"/>
          <w:lang w:val="en-US"/>
        </w:rPr>
        <w:t xml:space="preserve"> </w:t>
      </w:r>
      <w:r w:rsidRPr="00A85D40">
        <w:rPr>
          <w:rFonts w:ascii="Calibri" w:hAnsi="Calibri" w:cs="Arial"/>
          <w:lang w:val="en-US"/>
        </w:rPr>
        <w:t>insurance and criminal record are also regarded as relevant to their credentials</w:t>
      </w:r>
      <w:r>
        <w:rPr>
          <w:rFonts w:ascii="Calibri" w:hAnsi="Calibri" w:cs="Arial"/>
        </w:rPr>
        <w:t xml:space="preserve"> (ACSQHC, 2004).</w:t>
      </w:r>
    </w:p>
    <w:p w:rsidR="00D55BEC" w:rsidRPr="00825BB2" w:rsidRDefault="00D55BEC" w:rsidP="00D55BEC">
      <w:pPr>
        <w:jc w:val="both"/>
        <w:rPr>
          <w:rFonts w:ascii="Calibri" w:hAnsi="Calibri" w:cs="Arial"/>
          <w:sz w:val="20"/>
          <w:lang w:val="en-US"/>
        </w:rPr>
      </w:pPr>
    </w:p>
    <w:p w:rsidR="00D55BEC" w:rsidRDefault="00D55BEC" w:rsidP="00D55BEC">
      <w:pPr>
        <w:rPr>
          <w:rFonts w:ascii="Calibri" w:hAnsi="Calibri" w:cs="Arial"/>
          <w:sz w:val="22"/>
          <w:szCs w:val="22"/>
        </w:rPr>
      </w:pPr>
      <w:r w:rsidRPr="005009C7">
        <w:rPr>
          <w:rFonts w:ascii="Calibri" w:hAnsi="Calibri" w:cs="Arial"/>
          <w:b/>
          <w:i/>
        </w:rPr>
        <w:t xml:space="preserve">Defining the </w:t>
      </w:r>
      <w:r>
        <w:rPr>
          <w:rFonts w:ascii="Calibri" w:hAnsi="Calibri" w:cs="Arial"/>
          <w:b/>
          <w:i/>
        </w:rPr>
        <w:t>s</w:t>
      </w:r>
      <w:r w:rsidRPr="005009C7">
        <w:rPr>
          <w:rFonts w:ascii="Calibri" w:hAnsi="Calibri" w:cs="Arial"/>
          <w:b/>
          <w:i/>
        </w:rPr>
        <w:t>cope of</w:t>
      </w:r>
      <w:r>
        <w:rPr>
          <w:rFonts w:ascii="Calibri" w:hAnsi="Calibri" w:cs="Arial"/>
          <w:b/>
          <w:i/>
        </w:rPr>
        <w:t xml:space="preserve"> c</w:t>
      </w:r>
      <w:r w:rsidRPr="005009C7">
        <w:rPr>
          <w:rFonts w:ascii="Calibri" w:hAnsi="Calibri" w:cs="Arial"/>
          <w:b/>
          <w:i/>
        </w:rPr>
        <w:t xml:space="preserve">linical </w:t>
      </w:r>
      <w:r>
        <w:rPr>
          <w:rFonts w:ascii="Calibri" w:hAnsi="Calibri" w:cs="Arial"/>
          <w:b/>
          <w:i/>
        </w:rPr>
        <w:t>p</w:t>
      </w:r>
      <w:r w:rsidRPr="005009C7">
        <w:rPr>
          <w:rFonts w:ascii="Calibri" w:hAnsi="Calibri" w:cs="Arial"/>
          <w:b/>
          <w:i/>
        </w:rPr>
        <w:t>ractice</w:t>
      </w:r>
      <w:r w:rsidRPr="005009C7">
        <w:rPr>
          <w:rFonts w:ascii="Calibri" w:hAnsi="Calibri" w:cs="Arial"/>
        </w:rPr>
        <w:t xml:space="preserve"> </w:t>
      </w:r>
      <w:r w:rsidRPr="005009C7">
        <w:rPr>
          <w:rFonts w:ascii="Calibri" w:hAnsi="Calibri" w:cs="CorporateSBQ-Light"/>
        </w:rPr>
        <w:t xml:space="preserve">- means delineating the extent of an individual </w:t>
      </w:r>
      <w:r w:rsidR="00211502">
        <w:rPr>
          <w:rFonts w:ascii="Calibri" w:hAnsi="Calibri" w:cs="CorporateSBQ-Light"/>
        </w:rPr>
        <w:t>doctor’s or dentist’s</w:t>
      </w:r>
      <w:r w:rsidRPr="005009C7">
        <w:rPr>
          <w:rFonts w:ascii="Calibri" w:hAnsi="Calibri" w:cs="CorporateSBQ-Light"/>
        </w:rPr>
        <w:t xml:space="preserve"> clinical practice within a particular organisation based on the individual’s credentials, competence, performance and professional suitability, and the needs and the capability of the organisation to support the </w:t>
      </w:r>
      <w:r w:rsidR="00211502">
        <w:rPr>
          <w:rFonts w:ascii="Calibri" w:hAnsi="Calibri" w:cs="CorporateSBQ-Light"/>
        </w:rPr>
        <w:t>doctor</w:t>
      </w:r>
      <w:r>
        <w:rPr>
          <w:rFonts w:ascii="Calibri" w:hAnsi="Calibri" w:cs="CorporateSBQ-Light"/>
        </w:rPr>
        <w:t>’s</w:t>
      </w:r>
      <w:r w:rsidRPr="005009C7">
        <w:rPr>
          <w:rFonts w:ascii="Calibri" w:hAnsi="Calibri" w:cs="CorporateSBQ-Light"/>
        </w:rPr>
        <w:t xml:space="preserve"> </w:t>
      </w:r>
      <w:r w:rsidR="00211502">
        <w:rPr>
          <w:rFonts w:ascii="Calibri" w:hAnsi="Calibri" w:cs="CorporateSBQ-Light"/>
        </w:rPr>
        <w:t xml:space="preserve">or dentist’s </w:t>
      </w:r>
      <w:r w:rsidR="009B3CFA">
        <w:rPr>
          <w:rFonts w:ascii="Calibri" w:hAnsi="Calibri" w:cs="CorporateSBQ-Light"/>
        </w:rPr>
        <w:t>s</w:t>
      </w:r>
      <w:r>
        <w:rPr>
          <w:rFonts w:ascii="Calibri" w:hAnsi="Calibri" w:cs="CorporateSBQ-Light"/>
        </w:rPr>
        <w:t xml:space="preserve">cope of clinical practice </w:t>
      </w:r>
      <w:r>
        <w:rPr>
          <w:rFonts w:ascii="Calibri" w:hAnsi="Calibri" w:cs="Arial"/>
          <w:sz w:val="22"/>
          <w:szCs w:val="22"/>
        </w:rPr>
        <w:t>(ACSQHC, 2004).</w:t>
      </w:r>
    </w:p>
    <w:p w:rsidR="00D55BEC" w:rsidRPr="00825BB2" w:rsidRDefault="00D55BEC" w:rsidP="00D55BEC">
      <w:pPr>
        <w:rPr>
          <w:rFonts w:ascii="Calibri" w:hAnsi="Calibri" w:cs="Arial"/>
          <w:sz w:val="20"/>
        </w:rPr>
      </w:pPr>
    </w:p>
    <w:p w:rsidR="00D55BEC" w:rsidRDefault="00D55BEC" w:rsidP="00D55BEC">
      <w:pPr>
        <w:rPr>
          <w:rFonts w:ascii="Calibri" w:hAnsi="Calibri" w:cs="Arial"/>
        </w:rPr>
      </w:pPr>
      <w:r w:rsidRPr="003B2092">
        <w:rPr>
          <w:rFonts w:ascii="Calibri" w:hAnsi="Calibri" w:cs="Arial"/>
          <w:b/>
          <w:i/>
        </w:rPr>
        <w:t>Locum</w:t>
      </w:r>
      <w:r w:rsidRPr="003B2092">
        <w:rPr>
          <w:rFonts w:ascii="Calibri" w:hAnsi="Calibri" w:cs="Arial"/>
        </w:rPr>
        <w:t xml:space="preserve"> - means an appropriately registered </w:t>
      </w:r>
      <w:r w:rsidR="00211502">
        <w:rPr>
          <w:rFonts w:ascii="Calibri" w:hAnsi="Calibri" w:cs="Arial"/>
        </w:rPr>
        <w:t>doctor or dentist</w:t>
      </w:r>
      <w:r w:rsidRPr="003B2092">
        <w:rPr>
          <w:rFonts w:ascii="Calibri" w:hAnsi="Calibri" w:cs="Arial"/>
        </w:rPr>
        <w:t xml:space="preserve"> who is engaged to meet a special need for a specified period of no more than twelve months.</w:t>
      </w:r>
    </w:p>
    <w:p w:rsidR="00D55BEC" w:rsidRPr="00825BB2" w:rsidRDefault="00D55BEC" w:rsidP="00D55BEC">
      <w:pPr>
        <w:jc w:val="both"/>
        <w:rPr>
          <w:rFonts w:ascii="Calibri" w:hAnsi="Calibri" w:cs="Arial"/>
          <w:sz w:val="20"/>
        </w:rPr>
      </w:pPr>
    </w:p>
    <w:p w:rsidR="00D55BEC" w:rsidRDefault="00D55BEC" w:rsidP="00D55BEC">
      <w:pPr>
        <w:rPr>
          <w:rFonts w:ascii="Calibri" w:hAnsi="Calibri" w:cs="Arial"/>
          <w:i/>
          <w:lang w:val="en-US"/>
        </w:rPr>
      </w:pPr>
      <w:r w:rsidRPr="00B14EB3">
        <w:rPr>
          <w:rFonts w:ascii="Calibri" w:hAnsi="Calibri" w:cs="Arial"/>
          <w:b/>
          <w:i/>
        </w:rPr>
        <w:t xml:space="preserve">Organisational capability </w:t>
      </w:r>
      <w:r w:rsidRPr="00B14EB3">
        <w:rPr>
          <w:rFonts w:ascii="Calibri" w:hAnsi="Calibri" w:cs="Arial"/>
          <w:i/>
        </w:rPr>
        <w:t xml:space="preserve">- </w:t>
      </w:r>
      <w:r w:rsidRPr="00AE5D1B">
        <w:rPr>
          <w:rFonts w:ascii="Calibri" w:hAnsi="Calibri" w:cs="Arial"/>
          <w:szCs w:val="24"/>
        </w:rPr>
        <w:t>means an organisation’s ability to provide the facilities and clinical and non-clinical support services necessary for the provision of safe, high quality clinical services, procedures or other interventions (ACSQHC, 2004).</w:t>
      </w:r>
    </w:p>
    <w:p w:rsidR="00D55BEC" w:rsidRPr="00B14EB3" w:rsidRDefault="00D55BEC" w:rsidP="00D55BEC">
      <w:pPr>
        <w:rPr>
          <w:rFonts w:ascii="Calibri" w:hAnsi="Calibri" w:cs="Arial"/>
          <w:sz w:val="20"/>
          <w:lang w:val="en-US"/>
        </w:rPr>
      </w:pPr>
    </w:p>
    <w:p w:rsidR="00D55BEC" w:rsidRPr="00AE5D1B" w:rsidRDefault="00D55BEC" w:rsidP="00D55BEC">
      <w:pPr>
        <w:rPr>
          <w:rFonts w:ascii="Calibri" w:hAnsi="Calibri" w:cs="Arial"/>
          <w:szCs w:val="24"/>
        </w:rPr>
      </w:pPr>
      <w:r w:rsidRPr="00B14EB3">
        <w:rPr>
          <w:rFonts w:ascii="Calibri" w:hAnsi="Calibri" w:cs="Arial"/>
          <w:b/>
          <w:i/>
        </w:rPr>
        <w:t xml:space="preserve">Organisational need </w:t>
      </w:r>
      <w:r w:rsidRPr="00AE5D1B">
        <w:rPr>
          <w:rFonts w:ascii="Calibri" w:hAnsi="Calibri" w:cs="Arial"/>
          <w:szCs w:val="24"/>
        </w:rPr>
        <w:t>- means the extent to which an organisation requires the provision of a specific clinical service, procedure or other intervention in order to provide a balanced mix of safe, high quality health care services that meet patient and community needs and aspirations (ACSQHC, 2004).</w:t>
      </w:r>
    </w:p>
    <w:p w:rsidR="00D55BEC" w:rsidRPr="00AE5D1B" w:rsidRDefault="00D55BEC" w:rsidP="00D55BEC">
      <w:pPr>
        <w:rPr>
          <w:rFonts w:ascii="Calibri" w:hAnsi="Calibri" w:cs="Arial"/>
          <w:szCs w:val="24"/>
        </w:rPr>
      </w:pPr>
      <w:r w:rsidRPr="003921BD">
        <w:rPr>
          <w:rFonts w:ascii="Calibri" w:hAnsi="Calibri" w:cs="Arial"/>
          <w:b/>
          <w:i/>
        </w:rPr>
        <w:lastRenderedPageBreak/>
        <w:t>Performance</w:t>
      </w:r>
      <w:r w:rsidRPr="003921BD">
        <w:rPr>
          <w:rFonts w:ascii="Calibri" w:hAnsi="Calibri" w:cs="Arial"/>
          <w:i/>
        </w:rPr>
        <w:t xml:space="preserve"> -</w:t>
      </w:r>
      <w:r w:rsidRPr="003921BD">
        <w:rPr>
          <w:rFonts w:ascii="Calibri" w:hAnsi="Calibri" w:cs="Arial"/>
          <w:b/>
          <w:i/>
        </w:rPr>
        <w:t xml:space="preserve"> </w:t>
      </w:r>
      <w:r w:rsidRPr="00AE5D1B">
        <w:rPr>
          <w:rFonts w:ascii="Calibri" w:hAnsi="Calibri" w:cs="Arial"/>
          <w:szCs w:val="24"/>
        </w:rPr>
        <w:t xml:space="preserve">means the extent to which a </w:t>
      </w:r>
      <w:r w:rsidR="00211502">
        <w:rPr>
          <w:rFonts w:ascii="Calibri" w:hAnsi="Calibri" w:cs="Arial"/>
          <w:szCs w:val="24"/>
        </w:rPr>
        <w:t>doctor or dentist</w:t>
      </w:r>
      <w:r w:rsidRPr="00AE5D1B">
        <w:rPr>
          <w:rFonts w:ascii="Calibri" w:hAnsi="Calibri" w:cs="Arial"/>
          <w:szCs w:val="24"/>
        </w:rPr>
        <w:t xml:space="preserve"> provides health care services in a manner which is consistent with known good practice and results in expected patient benefits (ACSQHC, 2004).</w:t>
      </w:r>
    </w:p>
    <w:p w:rsidR="00D55BEC" w:rsidRPr="00B14EB3" w:rsidRDefault="00D55BEC" w:rsidP="00D55BEC">
      <w:pPr>
        <w:rPr>
          <w:rFonts w:ascii="Calibri" w:hAnsi="Calibri" w:cs="Arial"/>
          <w:sz w:val="20"/>
          <w:lang w:val="en-US"/>
        </w:rPr>
      </w:pPr>
    </w:p>
    <w:p w:rsidR="00D55BEC" w:rsidRPr="003921BD" w:rsidRDefault="00D55BEC" w:rsidP="00D55BEC">
      <w:pPr>
        <w:rPr>
          <w:rFonts w:ascii="Calibri" w:hAnsi="Calibri" w:cs="Arial"/>
          <w:i/>
          <w:lang w:val="en-US"/>
        </w:rPr>
      </w:pPr>
      <w:r w:rsidRPr="003921BD">
        <w:rPr>
          <w:rFonts w:ascii="Calibri" w:hAnsi="Calibri" w:cs="Arial"/>
          <w:b/>
          <w:i/>
        </w:rPr>
        <w:t>Public health facility in the ACT</w:t>
      </w:r>
      <w:r w:rsidRPr="003921BD">
        <w:rPr>
          <w:rFonts w:ascii="Calibri" w:hAnsi="Calibri" w:cs="Arial"/>
          <w:i/>
        </w:rPr>
        <w:t xml:space="preserve"> - </w:t>
      </w:r>
      <w:r w:rsidRPr="00AE5D1B">
        <w:rPr>
          <w:rFonts w:ascii="Calibri" w:hAnsi="Calibri" w:cs="Arial"/>
          <w:szCs w:val="24"/>
        </w:rPr>
        <w:t>means a health facility operated by Health Directorate and Calvary Public Hospital, operated by the Little Company of Mary Health Care ACT and, in accordance with the Health Act, means the following facilities where health services are provided: a hospital, including a day hospital; a hospice; a nursing home; a health professional’s consulting room; another facility ordinarily used by the Territory to provide health services; any other facility prescribed by regulation for Section 6.</w:t>
      </w:r>
    </w:p>
    <w:p w:rsidR="00D55BEC" w:rsidRPr="00B14EB3" w:rsidRDefault="00D55BEC" w:rsidP="00D55BEC">
      <w:pPr>
        <w:rPr>
          <w:rFonts w:ascii="Calibri" w:hAnsi="Calibri" w:cs="Arial"/>
          <w:sz w:val="20"/>
        </w:rPr>
      </w:pPr>
    </w:p>
    <w:p w:rsidR="00D55BEC" w:rsidRPr="003921BD" w:rsidRDefault="00D55BEC" w:rsidP="00D55BEC">
      <w:pPr>
        <w:rPr>
          <w:rFonts w:ascii="Calibri" w:hAnsi="Calibri" w:cs="Arial"/>
          <w:i/>
          <w:lang w:val="en-US"/>
        </w:rPr>
      </w:pPr>
      <w:r w:rsidRPr="003921BD">
        <w:rPr>
          <w:rFonts w:ascii="Calibri" w:hAnsi="Calibri" w:cs="Arial"/>
          <w:b/>
          <w:i/>
        </w:rPr>
        <w:t>Re-</w:t>
      </w:r>
      <w:r w:rsidR="00251FD6">
        <w:rPr>
          <w:rFonts w:ascii="Calibri" w:hAnsi="Calibri" w:cs="Arial"/>
          <w:b/>
          <w:i/>
        </w:rPr>
        <w:t>credentialing</w:t>
      </w:r>
      <w:r w:rsidRPr="003921BD">
        <w:rPr>
          <w:rFonts w:ascii="Calibri" w:hAnsi="Calibri" w:cs="Arial"/>
          <w:b/>
          <w:i/>
        </w:rPr>
        <w:t xml:space="preserve"> </w:t>
      </w:r>
      <w:r w:rsidRPr="003921BD">
        <w:rPr>
          <w:rFonts w:ascii="Calibri" w:hAnsi="Calibri" w:cs="Arial"/>
          <w:i/>
          <w:lang w:val="en-US"/>
        </w:rPr>
        <w:t xml:space="preserve">- </w:t>
      </w:r>
      <w:r w:rsidRPr="00AE5D1B">
        <w:rPr>
          <w:rFonts w:ascii="Calibri" w:hAnsi="Calibri" w:cs="Arial"/>
          <w:szCs w:val="24"/>
        </w:rPr>
        <w:t xml:space="preserve">means the formal process used to re-confirm the qualifications, experience and professional standing (including history of and current status with respect to professional registration, disciplinary actions, indemnity insurance and criminal record) of </w:t>
      </w:r>
      <w:r w:rsidR="00211502">
        <w:rPr>
          <w:rFonts w:ascii="Calibri" w:hAnsi="Calibri" w:cs="Arial"/>
          <w:szCs w:val="24"/>
        </w:rPr>
        <w:t>doctors or dentists</w:t>
      </w:r>
      <w:r w:rsidRPr="00AE5D1B">
        <w:rPr>
          <w:rFonts w:ascii="Calibri" w:hAnsi="Calibri" w:cs="Arial"/>
          <w:szCs w:val="24"/>
        </w:rPr>
        <w:t>, for the purpose of forming a view about their ongoing competence, performance and professional suitability to provide safe, high quality health care services within specific organisational environments (ACSQHC, 2004).</w:t>
      </w:r>
    </w:p>
    <w:p w:rsidR="00D55BEC" w:rsidRPr="003921BD" w:rsidRDefault="00D55BEC" w:rsidP="00D55BEC">
      <w:pPr>
        <w:rPr>
          <w:rFonts w:asciiTheme="minorHAnsi" w:hAnsiTheme="minorHAnsi" w:cstheme="minorHAnsi"/>
          <w:i/>
          <w:iCs/>
          <w:sz w:val="20"/>
        </w:rPr>
      </w:pPr>
    </w:p>
    <w:p w:rsidR="00D55BEC" w:rsidRPr="00AE5D1B" w:rsidRDefault="00D55BEC" w:rsidP="00D55BEC">
      <w:pPr>
        <w:rPr>
          <w:rFonts w:ascii="Calibri" w:hAnsi="Calibri" w:cs="Arial"/>
          <w:szCs w:val="24"/>
        </w:rPr>
      </w:pPr>
      <w:r w:rsidRPr="003921BD">
        <w:rPr>
          <w:rFonts w:ascii="Calibri" w:hAnsi="Calibri" w:cs="Arial"/>
          <w:b/>
          <w:i/>
        </w:rPr>
        <w:t>Senior Medical and Dental Practitioner</w:t>
      </w:r>
      <w:r w:rsidRPr="003921BD">
        <w:rPr>
          <w:rFonts w:ascii="Calibri" w:hAnsi="Calibri" w:cs="Arial"/>
          <w:i/>
        </w:rPr>
        <w:t xml:space="preserve"> </w:t>
      </w:r>
      <w:r w:rsidRPr="00AE5D1B">
        <w:rPr>
          <w:rFonts w:ascii="Calibri" w:hAnsi="Calibri" w:cs="Arial"/>
          <w:szCs w:val="24"/>
        </w:rPr>
        <w:t xml:space="preserve">– means a Specialist, Senior Specialist and Visiting Medical Officer (VMO) engaged by a public health facility in the ACT but not a medical officer at an Intern, Resident Medical Officer (RMO), Career Medical Officer (CMO), Registrar, Senior Registrar or Fellow level appointment. </w:t>
      </w:r>
    </w:p>
    <w:p w:rsidR="00D55BEC" w:rsidRPr="003921BD" w:rsidRDefault="00D55BEC" w:rsidP="00D55BEC">
      <w:pPr>
        <w:rPr>
          <w:rFonts w:asciiTheme="minorHAnsi" w:hAnsiTheme="minorHAnsi" w:cstheme="minorHAnsi"/>
          <w:i/>
          <w:iCs/>
          <w:sz w:val="20"/>
        </w:rPr>
      </w:pPr>
    </w:p>
    <w:p w:rsidR="00D55BEC" w:rsidRPr="00AE5D1B" w:rsidRDefault="00D55BEC" w:rsidP="00D55BEC">
      <w:pPr>
        <w:rPr>
          <w:rFonts w:ascii="Calibri" w:hAnsi="Calibri" w:cs="Arial"/>
          <w:szCs w:val="24"/>
        </w:rPr>
      </w:pPr>
      <w:r w:rsidRPr="003921BD">
        <w:rPr>
          <w:rFonts w:ascii="Calibri" w:hAnsi="Calibri" w:cs="Arial"/>
          <w:b/>
          <w:i/>
        </w:rPr>
        <w:t xml:space="preserve">Scope of Clinical Practice </w:t>
      </w:r>
      <w:r w:rsidRPr="003921BD">
        <w:rPr>
          <w:rFonts w:ascii="Calibri" w:hAnsi="Calibri" w:cs="Arial"/>
          <w:i/>
        </w:rPr>
        <w:t xml:space="preserve">- </w:t>
      </w:r>
      <w:r w:rsidRPr="00AE5D1B">
        <w:rPr>
          <w:rFonts w:ascii="Calibri" w:hAnsi="Calibri" w:cs="Arial"/>
          <w:szCs w:val="24"/>
        </w:rPr>
        <w:t xml:space="preserve">means the authorised extent of an individual </w:t>
      </w:r>
      <w:r w:rsidRPr="00211502">
        <w:rPr>
          <w:rFonts w:ascii="Calibri" w:hAnsi="Calibri" w:cs="Arial"/>
          <w:szCs w:val="24"/>
        </w:rPr>
        <w:t>doctor’s or dentist’s</w:t>
      </w:r>
      <w:r w:rsidRPr="00AE5D1B">
        <w:rPr>
          <w:rFonts w:ascii="Calibri" w:hAnsi="Calibri" w:cs="Arial"/>
          <w:szCs w:val="24"/>
        </w:rPr>
        <w:t xml:space="preserve"> clinical practice within a particular organisation. See “defining the Scope of clinical practice” (ACSQHC, 2004).</w:t>
      </w:r>
    </w:p>
    <w:p w:rsidR="00D55BEC" w:rsidRPr="003921BD" w:rsidRDefault="00D55BEC" w:rsidP="00D55BEC">
      <w:pPr>
        <w:rPr>
          <w:rFonts w:ascii="Calibri" w:hAnsi="Calibri" w:cs="Arial"/>
          <w:i/>
          <w:sz w:val="20"/>
        </w:rPr>
      </w:pPr>
    </w:p>
    <w:p w:rsidR="009B3CFA" w:rsidRDefault="00D55BEC">
      <w:pPr>
        <w:rPr>
          <w:rFonts w:ascii="Calibri" w:hAnsi="Calibri" w:cs="Arial"/>
          <w:szCs w:val="24"/>
        </w:rPr>
      </w:pPr>
      <w:r w:rsidRPr="003921BD">
        <w:rPr>
          <w:rFonts w:ascii="Calibri" w:hAnsi="Calibri" w:cs="Arial"/>
          <w:b/>
          <w:i/>
        </w:rPr>
        <w:t>Specialist</w:t>
      </w:r>
      <w:r w:rsidRPr="003921BD">
        <w:rPr>
          <w:rFonts w:ascii="Calibri" w:hAnsi="Calibri" w:cs="Arial"/>
          <w:i/>
        </w:rPr>
        <w:t xml:space="preserve"> </w:t>
      </w:r>
      <w:r w:rsidRPr="00AE5D1B">
        <w:rPr>
          <w:rFonts w:ascii="Calibri" w:hAnsi="Calibri" w:cs="Arial"/>
          <w:szCs w:val="24"/>
        </w:rPr>
        <w:t xml:space="preserve">- means a </w:t>
      </w:r>
      <w:r w:rsidR="004E0371">
        <w:rPr>
          <w:rFonts w:ascii="Calibri" w:hAnsi="Calibri" w:cs="Arial"/>
          <w:szCs w:val="24"/>
        </w:rPr>
        <w:t>person who  a) Is a registered medical practitioner; and</w:t>
      </w:r>
    </w:p>
    <w:p w:rsidR="004E0371" w:rsidRDefault="004E0371">
      <w:pPr>
        <w:rPr>
          <w:rFonts w:ascii="Calibri" w:hAnsi="Calibri" w:cs="Arial"/>
          <w:szCs w:val="24"/>
        </w:rPr>
      </w:pPr>
      <w:r>
        <w:rPr>
          <w:rFonts w:ascii="Calibri" w:hAnsi="Calibri" w:cs="Arial"/>
          <w:szCs w:val="24"/>
        </w:rPr>
        <w:t xml:space="preserve">b) After full </w:t>
      </w:r>
      <w:r w:rsidR="001D1675">
        <w:rPr>
          <w:rFonts w:ascii="Calibri" w:hAnsi="Calibri" w:cs="Arial"/>
          <w:szCs w:val="24"/>
        </w:rPr>
        <w:t>registration</w:t>
      </w:r>
      <w:r>
        <w:rPr>
          <w:rFonts w:ascii="Calibri" w:hAnsi="Calibri" w:cs="Arial"/>
          <w:szCs w:val="24"/>
        </w:rPr>
        <w:t xml:space="preserve"> has spent not less than five years in the practice of medicine; and</w:t>
      </w:r>
    </w:p>
    <w:p w:rsidR="004E0371" w:rsidRDefault="004E0371">
      <w:pPr>
        <w:rPr>
          <w:rFonts w:ascii="Calibri" w:hAnsi="Calibri" w:cs="Arial"/>
          <w:szCs w:val="24"/>
        </w:rPr>
      </w:pPr>
      <w:r>
        <w:rPr>
          <w:rFonts w:ascii="Calibri" w:hAnsi="Calibri" w:cs="Arial"/>
          <w:szCs w:val="24"/>
        </w:rPr>
        <w:t>c) Has spent not less than three years in supervised specialist training and/or experience; and</w:t>
      </w:r>
    </w:p>
    <w:p w:rsidR="004E0371" w:rsidRDefault="004E0371">
      <w:pPr>
        <w:rPr>
          <w:rFonts w:ascii="Calibri" w:hAnsi="Calibri" w:cs="Arial"/>
          <w:szCs w:val="24"/>
        </w:rPr>
      </w:pPr>
      <w:r>
        <w:rPr>
          <w:rFonts w:ascii="Calibri" w:hAnsi="Calibri" w:cs="Arial"/>
          <w:szCs w:val="24"/>
        </w:rPr>
        <w:t>d) Has obtained an appropriate higher medical qualification in his or her speciality acceptable to the Health Directorate.</w:t>
      </w:r>
    </w:p>
    <w:p w:rsidR="009B3CFA" w:rsidRPr="007E090C" w:rsidRDefault="009B3CFA">
      <w:pPr>
        <w:rPr>
          <w:rFonts w:ascii="Calibri" w:hAnsi="Calibri" w:cs="Arial"/>
          <w:sz w:val="2"/>
          <w:szCs w:val="24"/>
        </w:rPr>
      </w:pPr>
    </w:p>
    <w:tbl>
      <w:tblPr>
        <w:tblpPr w:leftFromText="180" w:rightFromText="180" w:vertAnchor="text" w:horzAnchor="margin" w:tblpX="108" w:tblpY="181"/>
        <w:tblW w:w="9158" w:type="dxa"/>
        <w:shd w:val="clear" w:color="auto" w:fill="000000"/>
        <w:tblLook w:val="0000"/>
      </w:tblPr>
      <w:tblGrid>
        <w:gridCol w:w="9158"/>
      </w:tblGrid>
      <w:tr w:rsidR="00D55BEC" w:rsidRPr="001B2BAC" w:rsidTr="00EF609E">
        <w:trPr>
          <w:cantSplit/>
          <w:trHeight w:val="285"/>
        </w:trPr>
        <w:tc>
          <w:tcPr>
            <w:tcW w:w="9158" w:type="dxa"/>
            <w:shd w:val="clear" w:color="auto" w:fill="000000"/>
          </w:tcPr>
          <w:p w:rsidR="00D55BEC" w:rsidRPr="001502DF" w:rsidRDefault="00D55BEC" w:rsidP="00EF609E">
            <w:pPr>
              <w:spacing w:before="40" w:after="40"/>
              <w:rPr>
                <w:rFonts w:ascii="Calibri" w:hAnsi="Calibri" w:cs="Arial"/>
                <w:b/>
                <w:szCs w:val="24"/>
              </w:rPr>
            </w:pPr>
            <w:r>
              <w:rPr>
                <w:rFonts w:ascii="Calibri" w:hAnsi="Calibri" w:cs="Arial"/>
                <w:b/>
                <w:szCs w:val="24"/>
              </w:rPr>
              <w:t>References</w:t>
            </w:r>
          </w:p>
        </w:tc>
      </w:tr>
    </w:tbl>
    <w:p w:rsidR="00D55BEC" w:rsidRPr="00D55BEC" w:rsidRDefault="00D55BEC" w:rsidP="00D55BEC">
      <w:pPr>
        <w:pStyle w:val="ListParagraph"/>
        <w:jc w:val="both"/>
        <w:rPr>
          <w:rFonts w:ascii="Calibri" w:hAnsi="Calibri" w:cs="Arial"/>
          <w:b/>
          <w:szCs w:val="24"/>
        </w:rPr>
      </w:pPr>
    </w:p>
    <w:p w:rsidR="00D36D3D" w:rsidRPr="00A6083B" w:rsidRDefault="00D36D3D" w:rsidP="00B14EB3">
      <w:pPr>
        <w:numPr>
          <w:ilvl w:val="0"/>
          <w:numId w:val="13"/>
        </w:numPr>
        <w:tabs>
          <w:tab w:val="clear" w:pos="720"/>
          <w:tab w:val="num" w:pos="360"/>
        </w:tabs>
        <w:ind w:left="360"/>
        <w:rPr>
          <w:rFonts w:ascii="Calibri" w:hAnsi="Calibri" w:cs="Arial"/>
          <w:szCs w:val="22"/>
        </w:rPr>
      </w:pPr>
      <w:r w:rsidRPr="00A6083B">
        <w:rPr>
          <w:rFonts w:ascii="Calibri" w:hAnsi="Calibri" w:cs="Arial"/>
          <w:szCs w:val="22"/>
        </w:rPr>
        <w:t xml:space="preserve">Australian Commission on Safety and Quality in Health Care (ACSQHC, 2004). </w:t>
      </w:r>
      <w:r w:rsidRPr="00A6083B">
        <w:rPr>
          <w:rFonts w:ascii="Calibri" w:hAnsi="Calibri" w:cs="Arial"/>
          <w:i/>
          <w:szCs w:val="22"/>
        </w:rPr>
        <w:t xml:space="preserve">Standard for </w:t>
      </w:r>
      <w:r w:rsidR="00251FD6">
        <w:rPr>
          <w:rFonts w:ascii="Calibri" w:hAnsi="Calibri" w:cs="Arial"/>
          <w:i/>
          <w:szCs w:val="22"/>
        </w:rPr>
        <w:t>Credentia</w:t>
      </w:r>
      <w:r w:rsidR="00CC5F6F">
        <w:rPr>
          <w:rFonts w:ascii="Calibri" w:hAnsi="Calibri" w:cs="Arial"/>
          <w:i/>
          <w:szCs w:val="22"/>
        </w:rPr>
        <w:t>l</w:t>
      </w:r>
      <w:r w:rsidR="00251FD6">
        <w:rPr>
          <w:rFonts w:ascii="Calibri" w:hAnsi="Calibri" w:cs="Arial"/>
          <w:i/>
          <w:szCs w:val="22"/>
        </w:rPr>
        <w:t>ling</w:t>
      </w:r>
      <w:r w:rsidRPr="00A6083B">
        <w:rPr>
          <w:rFonts w:ascii="Calibri" w:hAnsi="Calibri" w:cs="Arial"/>
          <w:i/>
          <w:szCs w:val="22"/>
        </w:rPr>
        <w:t xml:space="preserve"> and Defining the Scope of Clinical Practice</w:t>
      </w:r>
      <w:r w:rsidRPr="00A6083B">
        <w:rPr>
          <w:rFonts w:ascii="Calibri" w:hAnsi="Calibri" w:cs="Arial"/>
          <w:szCs w:val="22"/>
        </w:rPr>
        <w:t xml:space="preserve">. </w:t>
      </w:r>
      <w:smartTag w:uri="urn:schemas-microsoft-com:office:smarttags" w:element="City">
        <w:r w:rsidRPr="00A6083B">
          <w:rPr>
            <w:rFonts w:ascii="Calibri" w:hAnsi="Calibri" w:cs="Arial"/>
            <w:szCs w:val="22"/>
          </w:rPr>
          <w:t>Canberra</w:t>
        </w:r>
      </w:smartTag>
      <w:r w:rsidRPr="00A6083B">
        <w:rPr>
          <w:rFonts w:ascii="Calibri" w:hAnsi="Calibri" w:cs="Arial"/>
          <w:szCs w:val="22"/>
        </w:rPr>
        <w:t xml:space="preserve">: </w:t>
      </w:r>
      <w:smartTag w:uri="urn:schemas-microsoft-com:office:smarttags" w:element="country-region">
        <w:smartTag w:uri="urn:schemas-microsoft-com:office:smarttags" w:element="place">
          <w:r w:rsidRPr="00A6083B">
            <w:rPr>
              <w:rFonts w:ascii="Calibri" w:hAnsi="Calibri" w:cs="Arial"/>
              <w:szCs w:val="22"/>
            </w:rPr>
            <w:t>Australia</w:t>
          </w:r>
        </w:smartTag>
      </w:smartTag>
      <w:r w:rsidRPr="00A6083B">
        <w:rPr>
          <w:rFonts w:ascii="Calibri" w:hAnsi="Calibri" w:cs="Arial"/>
          <w:szCs w:val="22"/>
        </w:rPr>
        <w:t>. ACSQHC.</w:t>
      </w:r>
    </w:p>
    <w:p w:rsidR="00C55487" w:rsidRDefault="00D36D3D" w:rsidP="00C55487">
      <w:pPr>
        <w:numPr>
          <w:ilvl w:val="0"/>
          <w:numId w:val="13"/>
        </w:numPr>
        <w:tabs>
          <w:tab w:val="clear" w:pos="720"/>
          <w:tab w:val="num" w:pos="360"/>
        </w:tabs>
        <w:ind w:left="360"/>
        <w:rPr>
          <w:rFonts w:ascii="Calibri" w:hAnsi="Calibri" w:cs="Arial"/>
          <w:szCs w:val="22"/>
        </w:rPr>
      </w:pPr>
      <w:r w:rsidRPr="00A6083B">
        <w:rPr>
          <w:rFonts w:ascii="Calibri" w:hAnsi="Calibri" w:cs="Arial"/>
          <w:szCs w:val="22"/>
        </w:rPr>
        <w:t xml:space="preserve">Frank, J.R. (Ed.). (2005). </w:t>
      </w:r>
      <w:r w:rsidRPr="00A6083B">
        <w:rPr>
          <w:rFonts w:ascii="Calibri" w:hAnsi="Calibri" w:cs="Arial"/>
          <w:i/>
          <w:szCs w:val="22"/>
        </w:rPr>
        <w:t xml:space="preserve">The CanMEDS 2005 Physician Competency Framework. Better Standards. Better Physicians. Better Care. </w:t>
      </w:r>
      <w:r w:rsidRPr="00A6083B">
        <w:rPr>
          <w:rFonts w:ascii="Calibri" w:hAnsi="Calibri" w:cs="Arial"/>
          <w:szCs w:val="22"/>
        </w:rPr>
        <w:t>Ottawa, Canada: The Royal College of Physicians and Surgeons of Canada.</w:t>
      </w:r>
    </w:p>
    <w:p w:rsidR="00C55487" w:rsidRPr="009B3CFA" w:rsidRDefault="00251FD6" w:rsidP="00C55487">
      <w:pPr>
        <w:numPr>
          <w:ilvl w:val="0"/>
          <w:numId w:val="13"/>
        </w:numPr>
        <w:tabs>
          <w:tab w:val="clear" w:pos="720"/>
          <w:tab w:val="num" w:pos="360"/>
        </w:tabs>
        <w:ind w:left="360"/>
        <w:rPr>
          <w:rFonts w:ascii="Calibri" w:hAnsi="Calibri" w:cs="Arial"/>
          <w:szCs w:val="22"/>
        </w:rPr>
      </w:pPr>
      <w:r>
        <w:rPr>
          <w:rFonts w:ascii="Calibri" w:hAnsi="Calibri" w:cs="Arial"/>
          <w:i/>
          <w:szCs w:val="24"/>
        </w:rPr>
        <w:t>Credentia</w:t>
      </w:r>
      <w:r w:rsidR="00CC5F6F">
        <w:rPr>
          <w:rFonts w:ascii="Calibri" w:hAnsi="Calibri" w:cs="Arial"/>
          <w:i/>
          <w:szCs w:val="24"/>
        </w:rPr>
        <w:t>l</w:t>
      </w:r>
      <w:r>
        <w:rPr>
          <w:rFonts w:ascii="Calibri" w:hAnsi="Calibri" w:cs="Arial"/>
          <w:i/>
          <w:szCs w:val="24"/>
        </w:rPr>
        <w:t>ling</w:t>
      </w:r>
      <w:r w:rsidR="00C55487" w:rsidRPr="00C55487">
        <w:rPr>
          <w:rFonts w:ascii="Calibri" w:hAnsi="Calibri" w:cs="Arial"/>
          <w:i/>
          <w:szCs w:val="24"/>
        </w:rPr>
        <w:t xml:space="preserve"> and defining the scope of clinical practice for medical practitioners in Victorian Health Services – a policy handbook</w:t>
      </w:r>
    </w:p>
    <w:p w:rsidR="009B3CFA" w:rsidRPr="007E090C" w:rsidRDefault="009B3CFA" w:rsidP="009B3CFA">
      <w:pPr>
        <w:ind w:left="360"/>
        <w:rPr>
          <w:rFonts w:ascii="Calibri" w:hAnsi="Calibri" w:cs="Arial"/>
          <w:sz w:val="2"/>
          <w:szCs w:val="22"/>
        </w:rPr>
      </w:pPr>
    </w:p>
    <w:tbl>
      <w:tblPr>
        <w:tblpPr w:leftFromText="180" w:rightFromText="180" w:vertAnchor="text" w:horzAnchor="margin" w:tblpX="108" w:tblpY="181"/>
        <w:tblW w:w="9158" w:type="dxa"/>
        <w:shd w:val="clear" w:color="auto" w:fill="000000"/>
        <w:tblLook w:val="0000"/>
      </w:tblPr>
      <w:tblGrid>
        <w:gridCol w:w="9158"/>
      </w:tblGrid>
      <w:tr w:rsidR="00D55BEC" w:rsidRPr="001B2BAC" w:rsidTr="00EF609E">
        <w:trPr>
          <w:cantSplit/>
          <w:trHeight w:val="285"/>
        </w:trPr>
        <w:tc>
          <w:tcPr>
            <w:tcW w:w="9158" w:type="dxa"/>
            <w:shd w:val="clear" w:color="auto" w:fill="000000"/>
          </w:tcPr>
          <w:p w:rsidR="00D55BEC" w:rsidRPr="001502DF" w:rsidRDefault="00D55BEC" w:rsidP="00EF609E">
            <w:pPr>
              <w:spacing w:before="40" w:after="40"/>
              <w:rPr>
                <w:rFonts w:ascii="Calibri" w:hAnsi="Calibri" w:cs="Arial"/>
                <w:b/>
                <w:szCs w:val="24"/>
              </w:rPr>
            </w:pPr>
            <w:r>
              <w:rPr>
                <w:rFonts w:ascii="Calibri" w:hAnsi="Calibri" w:cs="Arial"/>
                <w:b/>
                <w:szCs w:val="24"/>
              </w:rPr>
              <w:t>A</w:t>
            </w:r>
            <w:r w:rsidR="00FE36EF">
              <w:rPr>
                <w:rFonts w:ascii="Calibri" w:hAnsi="Calibri" w:cs="Arial"/>
                <w:b/>
                <w:szCs w:val="24"/>
              </w:rPr>
              <w:t>ssociated SOPs</w:t>
            </w:r>
          </w:p>
        </w:tc>
      </w:tr>
    </w:tbl>
    <w:p w:rsidR="00FE36EF" w:rsidRPr="001C3152" w:rsidRDefault="00FE36EF" w:rsidP="00B14EB3">
      <w:pPr>
        <w:rPr>
          <w:rFonts w:ascii="Calibri" w:hAnsi="Calibri" w:cs="Arial"/>
          <w:b/>
          <w:sz w:val="20"/>
          <w:szCs w:val="24"/>
        </w:rPr>
      </w:pPr>
    </w:p>
    <w:p w:rsidR="001C3152" w:rsidRPr="00737F67" w:rsidRDefault="00FE36EF" w:rsidP="00737F67">
      <w:pPr>
        <w:pStyle w:val="ListParagraph"/>
        <w:numPr>
          <w:ilvl w:val="0"/>
          <w:numId w:val="26"/>
        </w:numPr>
        <w:ind w:left="426" w:hanging="426"/>
        <w:rPr>
          <w:rFonts w:ascii="Calibri" w:hAnsi="Calibri" w:cs="Arial"/>
          <w:szCs w:val="24"/>
        </w:rPr>
      </w:pPr>
      <w:r w:rsidRPr="00737F67">
        <w:rPr>
          <w:rFonts w:ascii="Calibri" w:hAnsi="Calibri" w:cs="Arial"/>
          <w:szCs w:val="24"/>
        </w:rPr>
        <w:t>Recruitment of Senior Medical and Dental Practitioners SOP</w:t>
      </w:r>
    </w:p>
    <w:p w:rsidR="00FE36EF" w:rsidRPr="00737F67" w:rsidRDefault="00251FD6" w:rsidP="00737F67">
      <w:pPr>
        <w:pStyle w:val="ListParagraph"/>
        <w:numPr>
          <w:ilvl w:val="0"/>
          <w:numId w:val="26"/>
        </w:numPr>
        <w:ind w:left="426" w:hanging="426"/>
        <w:rPr>
          <w:rFonts w:ascii="Calibri" w:hAnsi="Calibri" w:cs="Arial"/>
          <w:szCs w:val="24"/>
        </w:rPr>
      </w:pPr>
      <w:r w:rsidRPr="00737F67">
        <w:rPr>
          <w:rFonts w:ascii="Calibri" w:hAnsi="Calibri" w:cs="Arial"/>
          <w:szCs w:val="24"/>
        </w:rPr>
        <w:t>Credentialing</w:t>
      </w:r>
      <w:r w:rsidR="00FE36EF" w:rsidRPr="00737F67">
        <w:rPr>
          <w:rFonts w:ascii="Calibri" w:hAnsi="Calibri" w:cs="Arial"/>
          <w:szCs w:val="24"/>
        </w:rPr>
        <w:t xml:space="preserve"> and Defining the Scope of Clinical Practice for Senior Medical and Dental Practitioners SOP</w:t>
      </w:r>
    </w:p>
    <w:sectPr w:rsidR="00FE36EF" w:rsidRPr="00737F67" w:rsidSect="00A547D6">
      <w:headerReference w:type="even" r:id="rId16"/>
      <w:headerReference w:type="default" r:id="rId17"/>
      <w:footerReference w:type="even" r:id="rId18"/>
      <w:footerReference w:type="default" r:id="rId19"/>
      <w:headerReference w:type="first" r:id="rId20"/>
      <w:footerReference w:type="first" r:id="rId21"/>
      <w:pgSz w:w="11906" w:h="16838" w:code="9"/>
      <w:pgMar w:top="539" w:right="1418" w:bottom="1440" w:left="1418" w:header="709"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371" w:rsidRDefault="004E0371">
      <w:r>
        <w:separator/>
      </w:r>
    </w:p>
  </w:endnote>
  <w:endnote w:type="continuationSeparator" w:id="0">
    <w:p w:rsidR="004E0371" w:rsidRDefault="004E03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SBQ-Med">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porateSBQ-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67" w:rsidRDefault="003472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1541"/>
      <w:gridCol w:w="977"/>
      <w:gridCol w:w="1560"/>
      <w:gridCol w:w="1464"/>
      <w:gridCol w:w="1796"/>
      <w:gridCol w:w="1948"/>
    </w:tblGrid>
    <w:tr w:rsidR="004E0371" w:rsidTr="00DB58F7">
      <w:tc>
        <w:tcPr>
          <w:tcW w:w="1541" w:type="dxa"/>
        </w:tcPr>
        <w:p w:rsidR="004E0371" w:rsidRDefault="004E0371" w:rsidP="00DB58F7">
          <w:pPr>
            <w:pStyle w:val="Footer"/>
            <w:rPr>
              <w:rFonts w:ascii="Calibri" w:hAnsi="Calibri" w:cs="Arial"/>
              <w:b/>
              <w:bCs/>
              <w:sz w:val="20"/>
            </w:rPr>
          </w:pPr>
          <w:r>
            <w:rPr>
              <w:rFonts w:ascii="Calibri" w:hAnsi="Calibri" w:cs="Arial"/>
              <w:b/>
              <w:bCs/>
              <w:sz w:val="20"/>
            </w:rPr>
            <w:t>Doc Number</w:t>
          </w:r>
        </w:p>
      </w:tc>
      <w:tc>
        <w:tcPr>
          <w:tcW w:w="977" w:type="dxa"/>
        </w:tcPr>
        <w:p w:rsidR="004E0371" w:rsidRDefault="004E0371" w:rsidP="00DB58F7">
          <w:pPr>
            <w:pStyle w:val="Footer"/>
            <w:rPr>
              <w:rFonts w:ascii="Calibri" w:hAnsi="Calibri" w:cs="Arial"/>
              <w:b/>
              <w:bCs/>
              <w:sz w:val="20"/>
            </w:rPr>
          </w:pPr>
          <w:r>
            <w:rPr>
              <w:rFonts w:ascii="Calibri" w:hAnsi="Calibri" w:cs="Arial"/>
              <w:b/>
              <w:bCs/>
              <w:sz w:val="20"/>
            </w:rPr>
            <w:t>Version</w:t>
          </w:r>
        </w:p>
      </w:tc>
      <w:tc>
        <w:tcPr>
          <w:tcW w:w="1560" w:type="dxa"/>
        </w:tcPr>
        <w:p w:rsidR="004E0371" w:rsidRDefault="004E0371" w:rsidP="00DB58F7">
          <w:pPr>
            <w:pStyle w:val="Footer"/>
            <w:rPr>
              <w:rFonts w:ascii="Calibri" w:hAnsi="Calibri" w:cs="Arial"/>
              <w:b/>
              <w:bCs/>
              <w:sz w:val="20"/>
            </w:rPr>
          </w:pPr>
          <w:r>
            <w:rPr>
              <w:rFonts w:ascii="Calibri" w:hAnsi="Calibri" w:cs="Arial"/>
              <w:b/>
              <w:bCs/>
              <w:sz w:val="20"/>
            </w:rPr>
            <w:t>Issued</w:t>
          </w:r>
        </w:p>
      </w:tc>
      <w:tc>
        <w:tcPr>
          <w:tcW w:w="1464" w:type="dxa"/>
        </w:tcPr>
        <w:p w:rsidR="004E0371" w:rsidRDefault="004E0371" w:rsidP="00DB58F7">
          <w:pPr>
            <w:pStyle w:val="Footer"/>
            <w:rPr>
              <w:rFonts w:ascii="Calibri" w:hAnsi="Calibri" w:cs="Arial"/>
              <w:b/>
              <w:bCs/>
              <w:sz w:val="20"/>
            </w:rPr>
          </w:pPr>
          <w:r>
            <w:rPr>
              <w:rFonts w:ascii="Calibri" w:hAnsi="Calibri" w:cs="Arial"/>
              <w:b/>
              <w:bCs/>
              <w:sz w:val="20"/>
            </w:rPr>
            <w:t>Review Date</w:t>
          </w:r>
        </w:p>
      </w:tc>
      <w:tc>
        <w:tcPr>
          <w:tcW w:w="1796" w:type="dxa"/>
        </w:tcPr>
        <w:p w:rsidR="004E0371" w:rsidRDefault="004E0371" w:rsidP="00DB58F7">
          <w:pPr>
            <w:pStyle w:val="Footer"/>
            <w:rPr>
              <w:rFonts w:ascii="Calibri" w:hAnsi="Calibri" w:cs="Arial"/>
              <w:b/>
              <w:bCs/>
              <w:sz w:val="20"/>
            </w:rPr>
          </w:pPr>
          <w:r>
            <w:rPr>
              <w:rFonts w:ascii="Calibri" w:hAnsi="Calibri" w:cs="Arial"/>
              <w:b/>
              <w:bCs/>
              <w:sz w:val="20"/>
            </w:rPr>
            <w:t>Area Responsible</w:t>
          </w:r>
        </w:p>
      </w:tc>
      <w:tc>
        <w:tcPr>
          <w:tcW w:w="1948" w:type="dxa"/>
        </w:tcPr>
        <w:p w:rsidR="004E0371" w:rsidRDefault="004E0371" w:rsidP="00DB58F7">
          <w:pPr>
            <w:pStyle w:val="Footer"/>
            <w:rPr>
              <w:rFonts w:ascii="Calibri" w:hAnsi="Calibri" w:cs="Arial"/>
              <w:b/>
              <w:bCs/>
              <w:sz w:val="20"/>
            </w:rPr>
          </w:pPr>
          <w:r>
            <w:rPr>
              <w:rFonts w:ascii="Calibri" w:hAnsi="Calibri" w:cs="Arial"/>
              <w:b/>
              <w:bCs/>
              <w:sz w:val="20"/>
            </w:rPr>
            <w:t>Page</w:t>
          </w:r>
        </w:p>
      </w:tc>
    </w:tr>
    <w:tr w:rsidR="004E0371" w:rsidTr="00DB58F7">
      <w:tc>
        <w:tcPr>
          <w:tcW w:w="1541" w:type="dxa"/>
        </w:tcPr>
        <w:p w:rsidR="004E0371" w:rsidRPr="00CC5F6F" w:rsidRDefault="00347267" w:rsidP="00DB58F7">
          <w:pPr>
            <w:pStyle w:val="Footer"/>
            <w:rPr>
              <w:rFonts w:ascii="Calibri" w:hAnsi="Calibri" w:cs="Arial"/>
              <w:b/>
              <w:bCs/>
              <w:i/>
              <w:sz w:val="20"/>
            </w:rPr>
          </w:pPr>
          <w:r>
            <w:rPr>
              <w:rFonts w:ascii="Calibri" w:hAnsi="Calibri" w:cs="Arial"/>
              <w:b/>
              <w:i/>
              <w:sz w:val="20"/>
              <w:lang w:val="en-US"/>
            </w:rPr>
            <w:t>DGD12-037</w:t>
          </w:r>
        </w:p>
      </w:tc>
      <w:tc>
        <w:tcPr>
          <w:tcW w:w="977" w:type="dxa"/>
        </w:tcPr>
        <w:p w:rsidR="004E0371" w:rsidRPr="007E090C" w:rsidRDefault="00347267" w:rsidP="00DB58F7">
          <w:pPr>
            <w:pStyle w:val="Footer"/>
            <w:rPr>
              <w:rFonts w:ascii="Calibri" w:hAnsi="Calibri" w:cs="Arial"/>
              <w:b/>
              <w:bCs/>
              <w:i/>
              <w:sz w:val="20"/>
            </w:rPr>
          </w:pPr>
          <w:r>
            <w:rPr>
              <w:rFonts w:ascii="Calibri" w:hAnsi="Calibri" w:cs="Arial"/>
              <w:b/>
              <w:bCs/>
              <w:i/>
              <w:sz w:val="20"/>
            </w:rPr>
            <w:t>1.0</w:t>
          </w:r>
        </w:p>
      </w:tc>
      <w:tc>
        <w:tcPr>
          <w:tcW w:w="1560" w:type="dxa"/>
        </w:tcPr>
        <w:p w:rsidR="004E0371" w:rsidRPr="00AE75FC" w:rsidRDefault="004E0371" w:rsidP="00DB58F7">
          <w:pPr>
            <w:pStyle w:val="Footer"/>
            <w:rPr>
              <w:rFonts w:ascii="Calibri" w:hAnsi="Calibri" w:cs="Arial"/>
              <w:b/>
              <w:bCs/>
              <w:sz w:val="20"/>
            </w:rPr>
          </w:pPr>
          <w:r>
            <w:rPr>
              <w:rFonts w:ascii="Calibri" w:hAnsi="Calibri" w:cs="Arial"/>
              <w:b/>
              <w:bCs/>
              <w:sz w:val="20"/>
            </w:rPr>
            <w:t>Oct 2012</w:t>
          </w:r>
        </w:p>
      </w:tc>
      <w:tc>
        <w:tcPr>
          <w:tcW w:w="1464" w:type="dxa"/>
        </w:tcPr>
        <w:p w:rsidR="004E0371" w:rsidRPr="00AE75FC" w:rsidRDefault="004E0371" w:rsidP="00DB58F7">
          <w:pPr>
            <w:pStyle w:val="Footer"/>
            <w:rPr>
              <w:rFonts w:ascii="Calibri" w:hAnsi="Calibri" w:cs="Arial"/>
              <w:b/>
              <w:bCs/>
              <w:sz w:val="20"/>
            </w:rPr>
          </w:pPr>
          <w:r>
            <w:rPr>
              <w:rFonts w:ascii="Calibri" w:hAnsi="Calibri" w:cs="Arial"/>
              <w:b/>
              <w:bCs/>
              <w:sz w:val="20"/>
            </w:rPr>
            <w:t>Oct 2015</w:t>
          </w:r>
        </w:p>
      </w:tc>
      <w:tc>
        <w:tcPr>
          <w:tcW w:w="1796" w:type="dxa"/>
        </w:tcPr>
        <w:p w:rsidR="004E0371" w:rsidRPr="00AE75FC" w:rsidRDefault="004E0371" w:rsidP="00B14EB3">
          <w:pPr>
            <w:pStyle w:val="Footer"/>
            <w:rPr>
              <w:rFonts w:ascii="Calibri" w:hAnsi="Calibri" w:cs="Arial"/>
              <w:b/>
              <w:bCs/>
              <w:sz w:val="20"/>
            </w:rPr>
          </w:pPr>
          <w:r>
            <w:rPr>
              <w:rFonts w:ascii="Calibri" w:hAnsi="Calibri" w:cs="Arial"/>
              <w:b/>
              <w:sz w:val="20"/>
              <w:lang w:val="en-US"/>
            </w:rPr>
            <w:t>MDPSU</w:t>
          </w:r>
        </w:p>
      </w:tc>
      <w:tc>
        <w:tcPr>
          <w:tcW w:w="1948" w:type="dxa"/>
        </w:tcPr>
        <w:p w:rsidR="004E0371" w:rsidRPr="00AE75FC" w:rsidRDefault="00090288" w:rsidP="00DB58F7">
          <w:pPr>
            <w:pStyle w:val="Footer"/>
            <w:rPr>
              <w:rFonts w:ascii="Calibri" w:hAnsi="Calibri"/>
              <w:sz w:val="20"/>
            </w:rPr>
          </w:pPr>
          <w:r w:rsidRPr="00AE75FC">
            <w:rPr>
              <w:rStyle w:val="PageNumber"/>
              <w:rFonts w:ascii="Calibri" w:hAnsi="Calibri"/>
              <w:sz w:val="20"/>
            </w:rPr>
            <w:fldChar w:fldCharType="begin"/>
          </w:r>
          <w:r w:rsidR="004E0371" w:rsidRPr="00AE75FC">
            <w:rPr>
              <w:rStyle w:val="PageNumber"/>
              <w:rFonts w:ascii="Calibri" w:hAnsi="Calibri"/>
              <w:sz w:val="20"/>
            </w:rPr>
            <w:instrText xml:space="preserve"> PAGE </w:instrText>
          </w:r>
          <w:r w:rsidRPr="00AE75FC">
            <w:rPr>
              <w:rStyle w:val="PageNumber"/>
              <w:rFonts w:ascii="Calibri" w:hAnsi="Calibri"/>
              <w:sz w:val="20"/>
            </w:rPr>
            <w:fldChar w:fldCharType="separate"/>
          </w:r>
          <w:r w:rsidR="00282A48">
            <w:rPr>
              <w:rStyle w:val="PageNumber"/>
              <w:rFonts w:ascii="Calibri" w:hAnsi="Calibri"/>
              <w:noProof/>
              <w:sz w:val="20"/>
            </w:rPr>
            <w:t>6</w:t>
          </w:r>
          <w:r w:rsidRPr="00AE75FC">
            <w:rPr>
              <w:rStyle w:val="PageNumber"/>
              <w:rFonts w:ascii="Calibri" w:hAnsi="Calibri"/>
              <w:sz w:val="20"/>
            </w:rPr>
            <w:fldChar w:fldCharType="end"/>
          </w:r>
          <w:r w:rsidR="004E0371" w:rsidRPr="00AE75FC">
            <w:rPr>
              <w:rStyle w:val="PageNumber"/>
              <w:rFonts w:ascii="Calibri" w:hAnsi="Calibri"/>
              <w:sz w:val="20"/>
            </w:rPr>
            <w:t xml:space="preserve"> of </w:t>
          </w:r>
          <w:r w:rsidRPr="00AE75FC">
            <w:rPr>
              <w:rStyle w:val="PageNumber"/>
              <w:rFonts w:ascii="Calibri" w:hAnsi="Calibri"/>
              <w:sz w:val="20"/>
            </w:rPr>
            <w:fldChar w:fldCharType="begin"/>
          </w:r>
          <w:r w:rsidR="004E0371" w:rsidRPr="00AE75FC">
            <w:rPr>
              <w:rStyle w:val="PageNumber"/>
              <w:rFonts w:ascii="Calibri" w:hAnsi="Calibri"/>
              <w:sz w:val="20"/>
            </w:rPr>
            <w:instrText xml:space="preserve"> NUMPAGES </w:instrText>
          </w:r>
          <w:r w:rsidRPr="00AE75FC">
            <w:rPr>
              <w:rStyle w:val="PageNumber"/>
              <w:rFonts w:ascii="Calibri" w:hAnsi="Calibri"/>
              <w:sz w:val="20"/>
            </w:rPr>
            <w:fldChar w:fldCharType="separate"/>
          </w:r>
          <w:r w:rsidR="00282A48">
            <w:rPr>
              <w:rStyle w:val="PageNumber"/>
              <w:rFonts w:ascii="Calibri" w:hAnsi="Calibri"/>
              <w:noProof/>
              <w:sz w:val="20"/>
            </w:rPr>
            <w:t>6</w:t>
          </w:r>
          <w:r w:rsidRPr="00AE75FC">
            <w:rPr>
              <w:rStyle w:val="PageNumber"/>
              <w:rFonts w:ascii="Calibri" w:hAnsi="Calibri"/>
              <w:sz w:val="20"/>
            </w:rPr>
            <w:fldChar w:fldCharType="end"/>
          </w:r>
        </w:p>
      </w:tc>
    </w:tr>
  </w:tbl>
  <w:p w:rsidR="004E0371" w:rsidRPr="00A547D6" w:rsidRDefault="004E0371">
    <w:pPr>
      <w:pStyle w:val="Footer"/>
      <w:rPr>
        <w:rFonts w:ascii="Calibri" w:hAnsi="Calibri"/>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67" w:rsidRDefault="003472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371" w:rsidRDefault="004E0371">
      <w:r>
        <w:separator/>
      </w:r>
    </w:p>
  </w:footnote>
  <w:footnote w:type="continuationSeparator" w:id="0">
    <w:p w:rsidR="004E0371" w:rsidRDefault="004E0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67" w:rsidRDefault="003472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71" w:rsidRPr="00A547D6" w:rsidRDefault="00347267" w:rsidP="00347267">
    <w:pPr>
      <w:pStyle w:val="Header"/>
      <w:tabs>
        <w:tab w:val="clear" w:pos="8306"/>
        <w:tab w:val="left" w:pos="5730"/>
      </w:tabs>
      <w:rPr>
        <w:rFonts w:ascii="Calibri" w:hAnsi="Calibri"/>
        <w:sz w:val="20"/>
      </w:rPr>
    </w:pPr>
    <w:r>
      <w:rPr>
        <w:rFonts w:ascii="Calibri" w:hAnsi="Calibri"/>
        <w:sz w:val="20"/>
      </w:rPr>
      <w:t xml:space="preserve">DGD12-037 </w:t>
    </w:r>
    <w:r w:rsidR="004E0371">
      <w:rPr>
        <w:rFonts w:ascii="Calibri" w:hAnsi="Calibri"/>
        <w:i/>
        <w:sz w:val="20"/>
      </w:rPr>
      <w:tab/>
    </w:r>
    <w:r>
      <w:rPr>
        <w:rFonts w:ascii="Calibri" w:hAnsi="Calibri"/>
        <w:i/>
        <w:sz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67" w:rsidRDefault="003472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AAE"/>
    <w:multiLevelType w:val="hybridMultilevel"/>
    <w:tmpl w:val="6FACA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9B0197"/>
    <w:multiLevelType w:val="hybridMultilevel"/>
    <w:tmpl w:val="42A05662"/>
    <w:lvl w:ilvl="0" w:tplc="0C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F2A089AA">
      <w:start w:val="1"/>
      <w:numFmt w:val="bullet"/>
      <w:lvlText w:val=""/>
      <w:lvlJc w:val="left"/>
      <w:pPr>
        <w:tabs>
          <w:tab w:val="num" w:pos="2084"/>
        </w:tabs>
        <w:ind w:left="2084" w:hanging="284"/>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116501FE"/>
    <w:multiLevelType w:val="hybridMultilevel"/>
    <w:tmpl w:val="38E0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83236"/>
    <w:multiLevelType w:val="hybridMultilevel"/>
    <w:tmpl w:val="29CCD54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FAE0DF1"/>
    <w:multiLevelType w:val="hybridMultilevel"/>
    <w:tmpl w:val="FEA22B8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63B4F42"/>
    <w:multiLevelType w:val="hybridMultilevel"/>
    <w:tmpl w:val="B9BE5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B3B3F42"/>
    <w:multiLevelType w:val="hybridMultilevel"/>
    <w:tmpl w:val="0600A0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692C21"/>
    <w:multiLevelType w:val="hybridMultilevel"/>
    <w:tmpl w:val="58145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0D5943"/>
    <w:multiLevelType w:val="hybridMultilevel"/>
    <w:tmpl w:val="659CA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63F3C60"/>
    <w:multiLevelType w:val="hybridMultilevel"/>
    <w:tmpl w:val="B8E6C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B33119"/>
    <w:multiLevelType w:val="hybridMultilevel"/>
    <w:tmpl w:val="84288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0F4F9D"/>
    <w:multiLevelType w:val="hybridMultilevel"/>
    <w:tmpl w:val="F12CE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863C91"/>
    <w:multiLevelType w:val="hybridMultilevel"/>
    <w:tmpl w:val="6F7E8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427CE4"/>
    <w:multiLevelType w:val="hybridMultilevel"/>
    <w:tmpl w:val="2020ACE0"/>
    <w:lvl w:ilvl="0" w:tplc="D0D27F42">
      <w:start w:val="6"/>
      <w:numFmt w:val="bullet"/>
      <w:lvlText w:val="–"/>
      <w:lvlJc w:val="left"/>
      <w:pPr>
        <w:ind w:left="720" w:hanging="360"/>
      </w:pPr>
      <w:rPr>
        <w:rFonts w:ascii="CorporateSBQ-Med" w:eastAsia="Times New Roman" w:hAnsi="CorporateSBQ-Med" w:cs="CorporateSBQ-M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EE4532"/>
    <w:multiLevelType w:val="hybridMultilevel"/>
    <w:tmpl w:val="37066390"/>
    <w:lvl w:ilvl="0" w:tplc="27A65EB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1EC43BA"/>
    <w:multiLevelType w:val="hybridMultilevel"/>
    <w:tmpl w:val="F0A45E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3B779B"/>
    <w:multiLevelType w:val="hybridMultilevel"/>
    <w:tmpl w:val="81203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2D10EF"/>
    <w:multiLevelType w:val="multilevel"/>
    <w:tmpl w:val="F2902B72"/>
    <w:lvl w:ilvl="0">
      <w:start w:val="1"/>
      <w:numFmt w:val="decimal"/>
      <w:lvlText w:val="%1."/>
      <w:lvlJc w:val="left"/>
      <w:pPr>
        <w:tabs>
          <w:tab w:val="num" w:pos="720"/>
        </w:tabs>
        <w:ind w:left="720" w:hanging="360"/>
      </w:pPr>
      <w:rPr>
        <w:rFonts w:cs="CorporateSBQ-Med" w:hint="default"/>
        <w:sz w:val="32"/>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48EB1096"/>
    <w:multiLevelType w:val="hybridMultilevel"/>
    <w:tmpl w:val="25C417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204382B"/>
    <w:multiLevelType w:val="hybridMultilevel"/>
    <w:tmpl w:val="066816E6"/>
    <w:lvl w:ilvl="0" w:tplc="B164CB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3813F81"/>
    <w:multiLevelType w:val="hybridMultilevel"/>
    <w:tmpl w:val="E69C80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5142D87"/>
    <w:multiLevelType w:val="hybridMultilevel"/>
    <w:tmpl w:val="92D0C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EE4D6E"/>
    <w:multiLevelType w:val="hybridMultilevel"/>
    <w:tmpl w:val="6C902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8AF6796"/>
    <w:multiLevelType w:val="hybridMultilevel"/>
    <w:tmpl w:val="E02EF620"/>
    <w:lvl w:ilvl="0" w:tplc="04090001">
      <w:start w:val="1"/>
      <w:numFmt w:val="bullet"/>
      <w:lvlText w:val=""/>
      <w:lvlJc w:val="left"/>
      <w:pPr>
        <w:tabs>
          <w:tab w:val="num" w:pos="720"/>
        </w:tabs>
        <w:ind w:left="720" w:hanging="360"/>
      </w:pPr>
      <w:rPr>
        <w:rFonts w:ascii="Symbol" w:hAnsi="Symbol" w:hint="default"/>
      </w:rPr>
    </w:lvl>
    <w:lvl w:ilvl="1" w:tplc="BAF0209E">
      <w:numFmt w:val="bullet"/>
      <w:lvlText w:val=""/>
      <w:lvlJc w:val="left"/>
      <w:pPr>
        <w:tabs>
          <w:tab w:val="num" w:pos="1440"/>
        </w:tabs>
        <w:ind w:left="1440" w:hanging="360"/>
      </w:pPr>
      <w:rPr>
        <w:rFonts w:ascii="Wingdings 2" w:eastAsia="Times New Roman" w:hAnsi="Wingdings 2" w:cs="Tahoma" w:hint="default"/>
        <w:color w:val="FF0066"/>
      </w:rPr>
    </w:lvl>
    <w:lvl w:ilvl="2" w:tplc="D1A8C838">
      <w:start w:val="2"/>
      <w:numFmt w:val="bullet"/>
      <w:lvlText w:val="-"/>
      <w:lvlJc w:val="left"/>
      <w:pPr>
        <w:tabs>
          <w:tab w:val="num" w:pos="2160"/>
        </w:tabs>
        <w:ind w:left="2160" w:hanging="360"/>
      </w:pPr>
      <w:rPr>
        <w:rFonts w:ascii="Times New Roman" w:eastAsia="Times New Roman" w:hAnsi="Times New Roman" w:cs="Times New Roman" w:hint="default"/>
        <w:b/>
        <w:color w:val="9999FF"/>
        <w:sz w:val="24"/>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8B4AFC"/>
    <w:multiLevelType w:val="hybridMultilevel"/>
    <w:tmpl w:val="CCE4BADA"/>
    <w:lvl w:ilvl="0" w:tplc="FEE41E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0"/>
  </w:num>
  <w:num w:numId="4">
    <w:abstractNumId w:val="23"/>
  </w:num>
  <w:num w:numId="5">
    <w:abstractNumId w:val="11"/>
  </w:num>
  <w:num w:numId="6">
    <w:abstractNumId w:val="0"/>
  </w:num>
  <w:num w:numId="7">
    <w:abstractNumId w:val="17"/>
  </w:num>
  <w:num w:numId="8">
    <w:abstractNumId w:val="21"/>
  </w:num>
  <w:num w:numId="9">
    <w:abstractNumId w:val="5"/>
  </w:num>
  <w:num w:numId="10">
    <w:abstractNumId w:val="4"/>
  </w:num>
  <w:num w:numId="11">
    <w:abstractNumId w:val="2"/>
  </w:num>
  <w:num w:numId="12">
    <w:abstractNumId w:val="13"/>
  </w:num>
  <w:num w:numId="13">
    <w:abstractNumId w:val="3"/>
  </w:num>
  <w:num w:numId="14">
    <w:abstractNumId w:val="19"/>
  </w:num>
  <w:num w:numId="15">
    <w:abstractNumId w:val="18"/>
  </w:num>
  <w:num w:numId="16">
    <w:abstractNumId w:val="10"/>
  </w:num>
  <w:num w:numId="17">
    <w:abstractNumId w:val="9"/>
  </w:num>
  <w:num w:numId="18">
    <w:abstractNumId w:val="7"/>
  </w:num>
  <w:num w:numId="19">
    <w:abstractNumId w:val="6"/>
  </w:num>
  <w:num w:numId="20">
    <w:abstractNumId w:val="15"/>
  </w:num>
  <w:num w:numId="21">
    <w:abstractNumId w:val="12"/>
  </w:num>
  <w:num w:numId="22">
    <w:abstractNumId w:val="22"/>
  </w:num>
  <w:num w:numId="23">
    <w:abstractNumId w:val="16"/>
  </w:num>
  <w:num w:numId="24">
    <w:abstractNumId w:val="8"/>
  </w:num>
  <w:num w:numId="25">
    <w:abstractNumId w:val="14"/>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hdrShapeDefaults>
    <o:shapedefaults v:ext="edit" spidmax="108545"/>
  </w:hdrShapeDefaults>
  <w:footnotePr>
    <w:footnote w:id="-1"/>
    <w:footnote w:id="0"/>
  </w:footnotePr>
  <w:endnotePr>
    <w:endnote w:id="-1"/>
    <w:endnote w:id="0"/>
  </w:endnotePr>
  <w:compat/>
  <w:rsids>
    <w:rsidRoot w:val="001157FE"/>
    <w:rsid w:val="00000C6D"/>
    <w:rsid w:val="000024F6"/>
    <w:rsid w:val="00004A61"/>
    <w:rsid w:val="0001247E"/>
    <w:rsid w:val="00042AF0"/>
    <w:rsid w:val="00054B02"/>
    <w:rsid w:val="0006347A"/>
    <w:rsid w:val="00075170"/>
    <w:rsid w:val="00090288"/>
    <w:rsid w:val="000A1351"/>
    <w:rsid w:val="000B2B4D"/>
    <w:rsid w:val="000B38E9"/>
    <w:rsid w:val="000C2BA7"/>
    <w:rsid w:val="000D7A96"/>
    <w:rsid w:val="000E050D"/>
    <w:rsid w:val="000E607A"/>
    <w:rsid w:val="001019AF"/>
    <w:rsid w:val="00110239"/>
    <w:rsid w:val="001155F0"/>
    <w:rsid w:val="001157FE"/>
    <w:rsid w:val="0012054A"/>
    <w:rsid w:val="00145A5A"/>
    <w:rsid w:val="001A10CD"/>
    <w:rsid w:val="001A4200"/>
    <w:rsid w:val="001A56F8"/>
    <w:rsid w:val="001B3980"/>
    <w:rsid w:val="001B541D"/>
    <w:rsid w:val="001B7E65"/>
    <w:rsid w:val="001C3152"/>
    <w:rsid w:val="001D0058"/>
    <w:rsid w:val="001D1675"/>
    <w:rsid w:val="001D2117"/>
    <w:rsid w:val="001D4A8F"/>
    <w:rsid w:val="001E5289"/>
    <w:rsid w:val="00200CC2"/>
    <w:rsid w:val="00211502"/>
    <w:rsid w:val="0021295C"/>
    <w:rsid w:val="0022101F"/>
    <w:rsid w:val="002315AF"/>
    <w:rsid w:val="00251FD6"/>
    <w:rsid w:val="00261986"/>
    <w:rsid w:val="002746FC"/>
    <w:rsid w:val="0027633D"/>
    <w:rsid w:val="00282A48"/>
    <w:rsid w:val="0028607C"/>
    <w:rsid w:val="00296BFE"/>
    <w:rsid w:val="002B3515"/>
    <w:rsid w:val="002C1AA6"/>
    <w:rsid w:val="002C29DD"/>
    <w:rsid w:val="002E20AA"/>
    <w:rsid w:val="002F676E"/>
    <w:rsid w:val="00310825"/>
    <w:rsid w:val="00310F29"/>
    <w:rsid w:val="00312B77"/>
    <w:rsid w:val="00313197"/>
    <w:rsid w:val="00315C63"/>
    <w:rsid w:val="00316E37"/>
    <w:rsid w:val="00317D97"/>
    <w:rsid w:val="00326D6A"/>
    <w:rsid w:val="00334A92"/>
    <w:rsid w:val="00341633"/>
    <w:rsid w:val="003416F6"/>
    <w:rsid w:val="00347267"/>
    <w:rsid w:val="00351529"/>
    <w:rsid w:val="00364493"/>
    <w:rsid w:val="0036468E"/>
    <w:rsid w:val="00366DDB"/>
    <w:rsid w:val="00366EFB"/>
    <w:rsid w:val="0037269B"/>
    <w:rsid w:val="003921BD"/>
    <w:rsid w:val="00392C70"/>
    <w:rsid w:val="003942E1"/>
    <w:rsid w:val="00395163"/>
    <w:rsid w:val="003A5CC7"/>
    <w:rsid w:val="003C1006"/>
    <w:rsid w:val="003C726F"/>
    <w:rsid w:val="003D5D09"/>
    <w:rsid w:val="003E4FD3"/>
    <w:rsid w:val="003F1B1E"/>
    <w:rsid w:val="004109DA"/>
    <w:rsid w:val="004429A2"/>
    <w:rsid w:val="00460AA1"/>
    <w:rsid w:val="00480245"/>
    <w:rsid w:val="004A111E"/>
    <w:rsid w:val="004A787C"/>
    <w:rsid w:val="004A7A21"/>
    <w:rsid w:val="004B2859"/>
    <w:rsid w:val="004B4606"/>
    <w:rsid w:val="004B5018"/>
    <w:rsid w:val="004C1C0B"/>
    <w:rsid w:val="004D6841"/>
    <w:rsid w:val="004E0371"/>
    <w:rsid w:val="004E230C"/>
    <w:rsid w:val="004F7E74"/>
    <w:rsid w:val="005078BE"/>
    <w:rsid w:val="00512A76"/>
    <w:rsid w:val="0051408D"/>
    <w:rsid w:val="005177EC"/>
    <w:rsid w:val="005255B1"/>
    <w:rsid w:val="00531DAC"/>
    <w:rsid w:val="00546326"/>
    <w:rsid w:val="0054639B"/>
    <w:rsid w:val="00551069"/>
    <w:rsid w:val="00552A7E"/>
    <w:rsid w:val="00557B5B"/>
    <w:rsid w:val="00565E2F"/>
    <w:rsid w:val="00570B1B"/>
    <w:rsid w:val="00580244"/>
    <w:rsid w:val="00580B2F"/>
    <w:rsid w:val="00581B97"/>
    <w:rsid w:val="00590BB0"/>
    <w:rsid w:val="0059288B"/>
    <w:rsid w:val="005A1C32"/>
    <w:rsid w:val="005A37E9"/>
    <w:rsid w:val="005D2847"/>
    <w:rsid w:val="005D3693"/>
    <w:rsid w:val="005E419B"/>
    <w:rsid w:val="005E422E"/>
    <w:rsid w:val="005F0A58"/>
    <w:rsid w:val="005F1EFC"/>
    <w:rsid w:val="005F247A"/>
    <w:rsid w:val="005F39C8"/>
    <w:rsid w:val="005F418D"/>
    <w:rsid w:val="005F5307"/>
    <w:rsid w:val="00611196"/>
    <w:rsid w:val="00632A1F"/>
    <w:rsid w:val="0063650F"/>
    <w:rsid w:val="00657708"/>
    <w:rsid w:val="00697A9C"/>
    <w:rsid w:val="006B71CB"/>
    <w:rsid w:val="006B7BE6"/>
    <w:rsid w:val="006C7986"/>
    <w:rsid w:val="006D355F"/>
    <w:rsid w:val="006E1809"/>
    <w:rsid w:val="006F2327"/>
    <w:rsid w:val="006F3F0E"/>
    <w:rsid w:val="006F448A"/>
    <w:rsid w:val="0070078F"/>
    <w:rsid w:val="00706F71"/>
    <w:rsid w:val="007173F6"/>
    <w:rsid w:val="00725CF1"/>
    <w:rsid w:val="007358EE"/>
    <w:rsid w:val="00736037"/>
    <w:rsid w:val="00737F67"/>
    <w:rsid w:val="007443F8"/>
    <w:rsid w:val="0075037B"/>
    <w:rsid w:val="00764AA2"/>
    <w:rsid w:val="00777D35"/>
    <w:rsid w:val="00786532"/>
    <w:rsid w:val="00790A9D"/>
    <w:rsid w:val="007B53BF"/>
    <w:rsid w:val="007C0B71"/>
    <w:rsid w:val="007E090C"/>
    <w:rsid w:val="007E21DB"/>
    <w:rsid w:val="007F00EC"/>
    <w:rsid w:val="007F0232"/>
    <w:rsid w:val="007F120F"/>
    <w:rsid w:val="0080485B"/>
    <w:rsid w:val="00810CBD"/>
    <w:rsid w:val="00823FA0"/>
    <w:rsid w:val="00824F75"/>
    <w:rsid w:val="00825BB2"/>
    <w:rsid w:val="00833CE7"/>
    <w:rsid w:val="00836F66"/>
    <w:rsid w:val="00845752"/>
    <w:rsid w:val="00853A50"/>
    <w:rsid w:val="00865DF7"/>
    <w:rsid w:val="00882A7C"/>
    <w:rsid w:val="0088338A"/>
    <w:rsid w:val="008A0FBF"/>
    <w:rsid w:val="008A39D3"/>
    <w:rsid w:val="008A47A3"/>
    <w:rsid w:val="008B7351"/>
    <w:rsid w:val="008E207E"/>
    <w:rsid w:val="008E6689"/>
    <w:rsid w:val="00903C5B"/>
    <w:rsid w:val="00915B77"/>
    <w:rsid w:val="0093001D"/>
    <w:rsid w:val="00951B36"/>
    <w:rsid w:val="0095591A"/>
    <w:rsid w:val="009561F1"/>
    <w:rsid w:val="00970657"/>
    <w:rsid w:val="00973023"/>
    <w:rsid w:val="0097393E"/>
    <w:rsid w:val="00980EFA"/>
    <w:rsid w:val="00981EF2"/>
    <w:rsid w:val="00985A1D"/>
    <w:rsid w:val="0099781D"/>
    <w:rsid w:val="009B3CFA"/>
    <w:rsid w:val="009B6EC1"/>
    <w:rsid w:val="009D6CE4"/>
    <w:rsid w:val="00A049F5"/>
    <w:rsid w:val="00A20AD8"/>
    <w:rsid w:val="00A217D0"/>
    <w:rsid w:val="00A224C8"/>
    <w:rsid w:val="00A31A32"/>
    <w:rsid w:val="00A42C39"/>
    <w:rsid w:val="00A43AA8"/>
    <w:rsid w:val="00A47808"/>
    <w:rsid w:val="00A547D6"/>
    <w:rsid w:val="00A6083B"/>
    <w:rsid w:val="00A7363E"/>
    <w:rsid w:val="00A92D28"/>
    <w:rsid w:val="00AA2439"/>
    <w:rsid w:val="00AC13BF"/>
    <w:rsid w:val="00AE1DB5"/>
    <w:rsid w:val="00AE5D1B"/>
    <w:rsid w:val="00AF38A6"/>
    <w:rsid w:val="00B11E14"/>
    <w:rsid w:val="00B12541"/>
    <w:rsid w:val="00B14EB3"/>
    <w:rsid w:val="00B22DC2"/>
    <w:rsid w:val="00B2786F"/>
    <w:rsid w:val="00B31184"/>
    <w:rsid w:val="00B31C48"/>
    <w:rsid w:val="00B32CFC"/>
    <w:rsid w:val="00B4316C"/>
    <w:rsid w:val="00B51E93"/>
    <w:rsid w:val="00B62F4B"/>
    <w:rsid w:val="00B71280"/>
    <w:rsid w:val="00B75F7D"/>
    <w:rsid w:val="00B77838"/>
    <w:rsid w:val="00B84E35"/>
    <w:rsid w:val="00BB6CEF"/>
    <w:rsid w:val="00BC1E94"/>
    <w:rsid w:val="00BD063D"/>
    <w:rsid w:val="00BD6617"/>
    <w:rsid w:val="00BD6E30"/>
    <w:rsid w:val="00BE1FD5"/>
    <w:rsid w:val="00BE4678"/>
    <w:rsid w:val="00BE76C0"/>
    <w:rsid w:val="00C02333"/>
    <w:rsid w:val="00C101DF"/>
    <w:rsid w:val="00C17D58"/>
    <w:rsid w:val="00C2755F"/>
    <w:rsid w:val="00C342EF"/>
    <w:rsid w:val="00C4719D"/>
    <w:rsid w:val="00C55487"/>
    <w:rsid w:val="00C631CF"/>
    <w:rsid w:val="00C651B9"/>
    <w:rsid w:val="00C81F1B"/>
    <w:rsid w:val="00C84279"/>
    <w:rsid w:val="00C96B54"/>
    <w:rsid w:val="00C97025"/>
    <w:rsid w:val="00CA251A"/>
    <w:rsid w:val="00CA7E32"/>
    <w:rsid w:val="00CB0F3A"/>
    <w:rsid w:val="00CC3485"/>
    <w:rsid w:val="00CC5F6F"/>
    <w:rsid w:val="00CC5FE4"/>
    <w:rsid w:val="00CE2714"/>
    <w:rsid w:val="00CE40CA"/>
    <w:rsid w:val="00D119A8"/>
    <w:rsid w:val="00D2155E"/>
    <w:rsid w:val="00D22860"/>
    <w:rsid w:val="00D25327"/>
    <w:rsid w:val="00D36D3D"/>
    <w:rsid w:val="00D52225"/>
    <w:rsid w:val="00D55BEC"/>
    <w:rsid w:val="00D60DD8"/>
    <w:rsid w:val="00D6164F"/>
    <w:rsid w:val="00D644E8"/>
    <w:rsid w:val="00D6605E"/>
    <w:rsid w:val="00D66436"/>
    <w:rsid w:val="00D832CA"/>
    <w:rsid w:val="00D86BE8"/>
    <w:rsid w:val="00D9048E"/>
    <w:rsid w:val="00DA106C"/>
    <w:rsid w:val="00DA6DAD"/>
    <w:rsid w:val="00DB58F7"/>
    <w:rsid w:val="00DC0C6A"/>
    <w:rsid w:val="00DE4B06"/>
    <w:rsid w:val="00E2601A"/>
    <w:rsid w:val="00E27AAA"/>
    <w:rsid w:val="00E45900"/>
    <w:rsid w:val="00E50136"/>
    <w:rsid w:val="00E564DA"/>
    <w:rsid w:val="00E568D2"/>
    <w:rsid w:val="00E62968"/>
    <w:rsid w:val="00E86132"/>
    <w:rsid w:val="00EA1C9A"/>
    <w:rsid w:val="00EB289C"/>
    <w:rsid w:val="00EF609E"/>
    <w:rsid w:val="00F07AD4"/>
    <w:rsid w:val="00F270DC"/>
    <w:rsid w:val="00F321CA"/>
    <w:rsid w:val="00F339D1"/>
    <w:rsid w:val="00F452F7"/>
    <w:rsid w:val="00F64D55"/>
    <w:rsid w:val="00F7611A"/>
    <w:rsid w:val="00F940E1"/>
    <w:rsid w:val="00FC01AE"/>
    <w:rsid w:val="00FC104B"/>
    <w:rsid w:val="00FC233C"/>
    <w:rsid w:val="00FD63A6"/>
    <w:rsid w:val="00FE36EF"/>
    <w:rsid w:val="00FF2292"/>
    <w:rsid w:val="00FF75D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7F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5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8607C"/>
    <w:pPr>
      <w:tabs>
        <w:tab w:val="center" w:pos="4153"/>
        <w:tab w:val="right" w:pos="8306"/>
      </w:tabs>
    </w:pPr>
  </w:style>
  <w:style w:type="paragraph" w:styleId="Footer">
    <w:name w:val="footer"/>
    <w:basedOn w:val="Normal"/>
    <w:link w:val="FooterChar"/>
    <w:rsid w:val="0028607C"/>
    <w:pPr>
      <w:tabs>
        <w:tab w:val="center" w:pos="4153"/>
        <w:tab w:val="right" w:pos="8306"/>
      </w:tabs>
    </w:pPr>
  </w:style>
  <w:style w:type="character" w:styleId="PageNumber">
    <w:name w:val="page number"/>
    <w:basedOn w:val="DefaultParagraphFont"/>
    <w:rsid w:val="0028607C"/>
  </w:style>
  <w:style w:type="character" w:styleId="CommentReference">
    <w:name w:val="annotation reference"/>
    <w:basedOn w:val="DefaultParagraphFont"/>
    <w:semiHidden/>
    <w:rsid w:val="002C29DD"/>
    <w:rPr>
      <w:sz w:val="16"/>
      <w:szCs w:val="16"/>
    </w:rPr>
  </w:style>
  <w:style w:type="paragraph" w:styleId="CommentText">
    <w:name w:val="annotation text"/>
    <w:basedOn w:val="Normal"/>
    <w:semiHidden/>
    <w:rsid w:val="002C29DD"/>
    <w:rPr>
      <w:sz w:val="20"/>
    </w:rPr>
  </w:style>
  <w:style w:type="paragraph" w:styleId="CommentSubject">
    <w:name w:val="annotation subject"/>
    <w:basedOn w:val="CommentText"/>
    <w:next w:val="CommentText"/>
    <w:semiHidden/>
    <w:rsid w:val="002C29DD"/>
    <w:rPr>
      <w:b/>
      <w:bCs/>
    </w:rPr>
  </w:style>
  <w:style w:type="paragraph" w:styleId="BalloonText">
    <w:name w:val="Balloon Text"/>
    <w:basedOn w:val="Normal"/>
    <w:semiHidden/>
    <w:rsid w:val="002C29DD"/>
    <w:rPr>
      <w:rFonts w:ascii="Tahoma" w:hAnsi="Tahoma" w:cs="Tahoma"/>
      <w:sz w:val="16"/>
      <w:szCs w:val="16"/>
    </w:rPr>
  </w:style>
  <w:style w:type="character" w:customStyle="1" w:styleId="FooterChar">
    <w:name w:val="Footer Char"/>
    <w:basedOn w:val="DefaultParagraphFont"/>
    <w:link w:val="Footer"/>
    <w:rsid w:val="002746FC"/>
    <w:rPr>
      <w:sz w:val="24"/>
      <w:lang w:eastAsia="en-US"/>
    </w:rPr>
  </w:style>
  <w:style w:type="paragraph" w:styleId="ListParagraph">
    <w:name w:val="List Paragraph"/>
    <w:basedOn w:val="Normal"/>
    <w:uiPriority w:val="34"/>
    <w:qFormat/>
    <w:rsid w:val="002B3515"/>
    <w:pPr>
      <w:ind w:left="720"/>
      <w:contextualSpacing/>
    </w:pPr>
  </w:style>
  <w:style w:type="paragraph" w:styleId="FootnoteText">
    <w:name w:val="footnote text"/>
    <w:basedOn w:val="Normal"/>
    <w:link w:val="FootnoteTextChar"/>
    <w:rsid w:val="00FC01AE"/>
    <w:rPr>
      <w:sz w:val="20"/>
    </w:rPr>
  </w:style>
  <w:style w:type="character" w:customStyle="1" w:styleId="FootnoteTextChar">
    <w:name w:val="Footnote Text Char"/>
    <w:basedOn w:val="DefaultParagraphFont"/>
    <w:link w:val="FootnoteText"/>
    <w:rsid w:val="00FC01AE"/>
    <w:rPr>
      <w:lang w:eastAsia="en-US"/>
    </w:rPr>
  </w:style>
  <w:style w:type="character" w:styleId="FootnoteReference">
    <w:name w:val="footnote reference"/>
    <w:basedOn w:val="DefaultParagraphFont"/>
    <w:rsid w:val="00FC01AE"/>
    <w:rPr>
      <w:vertAlign w:val="superscript"/>
    </w:rPr>
  </w:style>
  <w:style w:type="paragraph" w:styleId="BodyText3">
    <w:name w:val="Body Text 3"/>
    <w:basedOn w:val="Normal"/>
    <w:link w:val="BodyText3Char"/>
    <w:rsid w:val="00FC01AE"/>
    <w:pPr>
      <w:spacing w:after="120"/>
    </w:pPr>
    <w:rPr>
      <w:sz w:val="16"/>
      <w:szCs w:val="16"/>
      <w:lang w:eastAsia="en-AU"/>
    </w:rPr>
  </w:style>
  <w:style w:type="character" w:customStyle="1" w:styleId="BodyText3Char">
    <w:name w:val="Body Text 3 Char"/>
    <w:basedOn w:val="DefaultParagraphFont"/>
    <w:link w:val="BodyText3"/>
    <w:rsid w:val="00FC01AE"/>
    <w:rPr>
      <w:sz w:val="16"/>
      <w:szCs w:val="16"/>
    </w:rPr>
  </w:style>
  <w:style w:type="paragraph" w:customStyle="1" w:styleId="Default">
    <w:name w:val="Default"/>
    <w:rsid w:val="00D25327"/>
    <w:pPr>
      <w:autoSpaceDE w:val="0"/>
      <w:autoSpaceDN w:val="0"/>
      <w:adjustRightInd w:val="0"/>
    </w:pPr>
    <w:rPr>
      <w:rFonts w:ascii="Arial" w:hAnsi="Arial" w:cs="Arial"/>
      <w:color w:val="000000"/>
      <w:sz w:val="24"/>
      <w:szCs w:val="24"/>
    </w:rPr>
  </w:style>
  <w:style w:type="paragraph" w:customStyle="1" w:styleId="aDef">
    <w:name w:val="aDef"/>
    <w:basedOn w:val="Normal"/>
    <w:rsid w:val="00313197"/>
    <w:pPr>
      <w:spacing w:before="80" w:after="60"/>
      <w:ind w:left="1100"/>
      <w:jc w:val="both"/>
    </w:pPr>
    <w:rPr>
      <w:szCs w:val="24"/>
    </w:rPr>
  </w:style>
  <w:style w:type="paragraph" w:customStyle="1" w:styleId="aDefpara">
    <w:name w:val="aDef para"/>
    <w:basedOn w:val="Normal"/>
    <w:rsid w:val="00313197"/>
    <w:pPr>
      <w:tabs>
        <w:tab w:val="right" w:pos="1400"/>
        <w:tab w:val="left" w:pos="1600"/>
      </w:tabs>
      <w:spacing w:before="80" w:after="60"/>
      <w:ind w:left="1600" w:hanging="1600"/>
      <w:jc w:val="both"/>
      <w:outlineLvl w:val="6"/>
    </w:pPr>
    <w:rPr>
      <w:szCs w:val="24"/>
    </w:rPr>
  </w:style>
  <w:style w:type="paragraph" w:styleId="Revision">
    <w:name w:val="Revision"/>
    <w:hidden/>
    <w:uiPriority w:val="99"/>
    <w:semiHidden/>
    <w:rsid w:val="00D86BE8"/>
    <w:rPr>
      <w:sz w:val="24"/>
      <w:lang w:eastAsia="en-US"/>
    </w:rPr>
  </w:style>
</w:styles>
</file>

<file path=word/webSettings.xml><?xml version="1.0" encoding="utf-8"?>
<w:webSettings xmlns:r="http://schemas.openxmlformats.org/officeDocument/2006/relationships" xmlns:w="http://schemas.openxmlformats.org/wordprocessingml/2006/main">
  <w:divs>
    <w:div w:id="804472264">
      <w:bodyDiv w:val="1"/>
      <w:marLeft w:val="0"/>
      <w:marRight w:val="0"/>
      <w:marTop w:val="0"/>
      <w:marBottom w:val="0"/>
      <w:divBdr>
        <w:top w:val="none" w:sz="0" w:space="0" w:color="auto"/>
        <w:left w:val="none" w:sz="0" w:space="0" w:color="auto"/>
        <w:bottom w:val="none" w:sz="0" w:space="0" w:color="auto"/>
        <w:right w:val="none" w:sz="0" w:space="0" w:color="auto"/>
      </w:divBdr>
    </w:div>
    <w:div w:id="12758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act.gov.au/a/1991-81/default.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acthealth/c/healthintranet?a=glob&amp;object=1243471532"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act.gov.au/a/2010-10/default.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Notes0 xmlns="5632a4c9-a5cb-4633-980a-3b3954ee3155" xsi:nil="true"/>
    <Approval_x0020_Name_x007c_Committee xmlns="5632a4c9-a5cb-4633-980a-3b3954ee3155">EC</Approval_x0020_Name_x007c_Committee>
    <Manager_x0020_Contact xmlns="5632a4c9-a5cb-4633-980a-3b3954ee3155">
      <UserInfo>
        <DisplayName>O'Leary, Elizabeth</DisplayName>
        <AccountId>2515</AccountId>
        <AccountType/>
      </UserInfo>
    </Manager_x0020_Contact>
    <EmailTo xmlns="http://schemas.microsoft.com/sharepoint/v3" xsi:nil="true"/>
    <Progress xmlns="5632a4c9-a5cb-4633-980a-3b3954ee3155" xsi:nil="true"/>
    <Type_x0020_of_x0020_Document xmlns="5632a4c9-a5cb-4633-980a-3b3954ee3155">Policy</Type_x0020_of_x0020_Document>
    <Status xmlns="5632a4c9-a5cb-4633-980a-3b3954ee3155">Approved</Status>
    <New_x0020_Applies_x0020_To xmlns="5632a4c9-a5cb-4633-980a-3b3954ee3155">Health-Wide</New_x0020_Applies_x0020_To>
    <New_x0020_Owner xmlns="5632a4c9-a5cb-4633-980a-3b3954ee3155">Professional Leadership, Research and Education</New_x0020_Owner>
    <EmailSender xmlns="http://schemas.microsoft.com/sharepoint/v3" xsi:nil="true"/>
    <EmailFrom xmlns="http://schemas.microsoft.com/sharepoint/v3" xsi:nil="true"/>
    <Key_x0020_Words xmlns="5632a4c9-a5cb-4633-980a-3b3954ee3155">The ACT Government Health Directorate (HD) is committed to the delivery of safe, appropriate and high quality medical and dental services. This is achieved through best practice recruitment and appointment procedures, robust credentialing and defining of </Key_x0020_Words>
    <Decision_x0020_Number xmlns="5632a4c9-a5cb-4633-980a-3b3954ee3155">DGD12-037</Decision_x0020_Number>
    <Review_x0020_Date xmlns="5632a4c9-a5cb-4633-980a-3b3954ee3155">2015-10-23T13:00:00+00:00</Review_x0020_Date>
    <Description0 xmlns="5632a4c9-a5cb-4633-980a-3b3954ee3155">The ACT Government Health Directorate (HD) is committed to the delivery of safe, appropriate and high quality medical and dental services. </Description0>
    <Display_x0020_on_x0020_Internet xmlns="5632a4c9-a5cb-4633-980a-3b3954ee3155">false</Display_x0020_on_x0020_Internet>
    <Version_x0020_Number xmlns="5632a4c9-a5cb-4633-980a-3b3954ee3155">1.0</Version_x0020_Number>
    <EmailSubject xmlns="http://schemas.microsoft.com/sharepoint/v3" xsi:nil="true"/>
    <Related_x0020_Documents xmlns="5632a4c9-a5cb-4633-980a-3b3954ee3155"/>
    <Approval_x0020_Date xmlns="5632a4c9-a5cb-4633-980a-3b3954ee3155">2012-10-23T13:00:00+00:00</Approval_x0020_Dat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Audit">
      <p:Name>Auditing</p:Name>
      <p:Description>Audits user actions on documents and list items to the Audit Log.</p:Description>
      <p:CustomData>
        <Audit>
          <View/>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0DFC1FC4E208934B98EDF4DDEFED00E4" ma:contentTypeVersion="51" ma:contentTypeDescription="Create a new document." ma:contentTypeScope="" ma:versionID="9bffd935f870aa1972f9b830f03f1a55">
  <xsd:schema xmlns:xsd="http://www.w3.org/2001/XMLSchema" xmlns:p="http://schemas.microsoft.com/office/2006/metadata/properties" xmlns:ns1="http://schemas.microsoft.com/sharepoint/v3" xmlns:ns2="5632a4c9-a5cb-4633-980a-3b3954ee3155" targetNamespace="http://schemas.microsoft.com/office/2006/metadata/properties" ma:root="true" ma:fieldsID="36fb92d1cca95280f72920ec272fb0bc" ns1:_="" ns2:_="">
    <xsd:import namespace="http://schemas.microsoft.com/sharepoint/v3"/>
    <xsd:import namespace="5632a4c9-a5cb-4633-980a-3b3954ee3155"/>
    <xsd:element name="properties">
      <xsd:complexType>
        <xsd:sequence>
          <xsd:element name="documentManagement">
            <xsd:complexType>
              <xsd:all>
                <xsd:element ref="ns2:Description0" minOccurs="0"/>
                <xsd:element ref="ns2:Key_x0020_Words" minOccurs="0"/>
                <xsd:element ref="ns2:Decision_x0020_Number" minOccurs="0"/>
                <xsd:element ref="ns2:Version_x0020_Number" minOccurs="0"/>
                <xsd:element ref="ns2:Review_x0020_Date" minOccurs="0"/>
                <xsd:element ref="ns2:Status" minOccurs="0"/>
                <xsd:element ref="ns2:New_x0020_Applies_x0020_To" minOccurs="0"/>
                <xsd:element ref="ns2:New_x0020_Owner" minOccurs="0"/>
                <xsd:element ref="ns2:Manager_x0020_Contact" minOccurs="0"/>
                <xsd:element ref="ns2:Type_x0020_of_x0020_Document" minOccurs="0"/>
                <xsd:element ref="ns1:EmailSender" minOccurs="0"/>
                <xsd:element ref="ns1:EmailTo" minOccurs="0"/>
                <xsd:element ref="ns1:EmailCc" minOccurs="0"/>
                <xsd:element ref="ns1:EmailFrom" minOccurs="0"/>
                <xsd:element ref="ns1:EmailSubjec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2" nillable="true" ma:displayName="E-Mail Sender" ma:hidden="true" ma:internalName="EmailSender">
      <xsd:simpleType>
        <xsd:restriction base="dms:Note"/>
      </xsd:simpleType>
    </xsd:element>
    <xsd:element name="EmailTo" ma:index="13" nillable="true" ma:displayName="E-Mail To" ma:hidden="true" ma:internalName="EmailTo">
      <xsd:simpleType>
        <xsd:restriction base="dms:Note"/>
      </xsd:simpleType>
    </xsd:element>
    <xsd:element name="EmailCc" ma:index="14" nillable="true" ma:displayName="E-Mail Cc" ma:hidden="true" ma:internalName="EmailCc">
      <xsd:simpleType>
        <xsd:restriction base="dms:Note"/>
      </xsd:simpleType>
    </xsd:element>
    <xsd:element name="EmailFrom" ma:index="15" nillable="true" ma:displayName="E-Mail From" ma:hidden="true" ma:internalName="EmailFrom">
      <xsd:simpleType>
        <xsd:restriction base="dms:Text"/>
      </xsd:simpleType>
    </xsd:element>
    <xsd:element name="EmailSubject" ma:index="16"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5632a4c9-a5cb-4633-980a-3b3954ee3155" elementFormDefault="qualified">
    <xsd:import namespace="http://schemas.microsoft.com/office/2006/documentManagement/types"/>
    <xsd:element name="Description0" ma:index="2" nillable="true" ma:displayName="Description" ma:internalName="Description0">
      <xsd:simpleType>
        <xsd:restriction base="dms:Note"/>
      </xsd:simpleType>
    </xsd:element>
    <xsd:element name="Key_x0020_Words" ma:index="3" nillable="true" ma:displayName="Key Words" ma:internalName="Key_x0020_Words">
      <xsd:simpleType>
        <xsd:restriction base="dms:Text">
          <xsd:maxLength value="255"/>
        </xsd:restriction>
      </xsd:simpleType>
    </xsd:element>
    <xsd:element name="Decision_x0020_Number" ma:index="4" nillable="true" ma:displayName="Decision Number" ma:internalName="Decision_x0020_Number">
      <xsd:simpleType>
        <xsd:restriction base="dms:Text">
          <xsd:maxLength value="15"/>
        </xsd:restriction>
      </xsd:simpleType>
    </xsd:element>
    <xsd:element name="Version_x0020_Number" ma:index="5" nillable="true" ma:displayName="Version Number" ma:internalName="Version_x0020_Number">
      <xsd:simpleType>
        <xsd:restriction base="dms:Text">
          <xsd:maxLength value="15"/>
        </xsd:restriction>
      </xsd:simpleType>
    </xsd:element>
    <xsd:element name="Review_x0020_Date" ma:index="6" nillable="true" ma:displayName="Review Date" ma:format="DateOnly" ma:internalName="Review_x0020_Date">
      <xsd:simpleType>
        <xsd:restriction base="dms:DateTime"/>
      </xsd:simpleType>
    </xsd:element>
    <xsd:element name="Status" ma:index="7" nillable="true" ma:displayName="Status" ma:format="Dropdown" ma:internalName="Status">
      <xsd:simpleType>
        <xsd:restriction base="dms:Choice">
          <xsd:enumeration value="Approved"/>
          <xsd:enumeration value="Pending Review"/>
          <xsd:enumeration value="Overdue for Review"/>
        </xsd:restriction>
      </xsd:simpleType>
    </xsd:element>
    <xsd:element name="New_x0020_Applies_x0020_To" ma:index="8" nillable="true" ma:displayName="Applies To" ma:default="Health-Wide" ma:format="Dropdown" ma:internalName="New_x0020_Applies_x0020_To">
      <xsd:simpleType>
        <xsd:restriction base="dms:Choice">
          <xsd:enumeration value="Health-Wide"/>
          <xsd:enumeration value="TCH and Health Services"/>
          <xsd:enumeration value="Business and Infrastructure"/>
          <xsd:enumeration value="Canberra Hospital Foundation"/>
          <xsd:enumeration value="Communications and Marketing"/>
          <xsd:enumeration value="DonateLife"/>
          <xsd:enumeration value="E-health &amp; Clinical Records"/>
          <xsd:enumeration value="Executive Coordination"/>
          <xsd:enumeration value="Financial Management"/>
          <xsd:enumeration value="Human Resource Management"/>
          <xsd:enumeration value="Internal Audit &amp; Risk Manager"/>
          <xsd:enumeration value="Performance &amp; Innovation"/>
          <xsd:enumeration value="Policy and Government Relations"/>
          <xsd:enumeration value="Population Health"/>
          <xsd:enumeration value="Professional Leadership, Research and Education"/>
          <xsd:enumeration value="Quality and Safety"/>
          <xsd:enumeration value="Service &amp; Capital Planning"/>
          <xsd:enumeration value="Operational Support- Acute Support"/>
          <xsd:enumeration value="Operational Support- CH&amp;HS"/>
          <xsd:enumeration value="Operational Support Services- CH&amp;HS"/>
          <xsd:enumeration value="Operational Support Services- Administrative Services"/>
          <xsd:enumeration value="Operational Support Services- Medical Services"/>
          <xsd:enumeration value="Operational Support Services- Medical Services – MDPSU"/>
          <xsd:enumeration value="Operational Support Services- Medical Services – MOSU"/>
          <xsd:enumeration value="Operational Support Services- Nursing&amp;Midwifery"/>
          <xsd:enumeration value="Operational Support Services- Nursing&amp;Midwifery-NIMS"/>
          <xsd:enumeration value="CRCS"/>
          <xsd:enumeration value="CRCS Apheresis"/>
          <xsd:enumeration value="CRCS CHARM"/>
          <xsd:enumeration value="CRCS Client Services Heath Centre Management"/>
          <xsd:enumeration value="CRCS Client Services Community Health Intake"/>
          <xsd:enumeration value="CRCS Executive Support"/>
          <xsd:enumeration value="CRCS Immunology"/>
          <xsd:enumeration value="CRCS Medical"/>
          <xsd:enumeration value="CRCS Nursing"/>
          <xsd:enumeration value="CRCS Radiation Oncology Planning"/>
          <xsd:enumeration value="CRCS Radiation Oncology Treatment"/>
          <xsd:enumeration value="CRCS Radiation Oncology Brachytherapy"/>
          <xsd:enumeration value="CRCS Radiation Oncology Administration"/>
          <xsd:enumeration value="CRCS Radiation Oncology Stereotactic"/>
          <xsd:enumeration value="Critical Care"/>
          <xsd:enumeration value="Critical Care-Emergency Department"/>
          <xsd:enumeration value="Critical Care-Intensive Care"/>
          <xsd:enumeration value="Critical Care-Medical Emergency Team"/>
          <xsd:enumeration value="Emergency Department"/>
          <xsd:enumeration value="Medical Emergency Team"/>
          <xsd:enumeration value="Medicine"/>
          <xsd:enumeration value="Medicine-Chronic Disease Program"/>
          <xsd:enumeration value="Medicine-Immunolog"/>
          <xsd:enumeration value="Medicine-Infection Prevention &amp; Control Unit"/>
          <xsd:enumeration value="Medicine-IVAD team"/>
          <xsd:enumeration value="Medicine-Pharmacy"/>
          <xsd:enumeration value="MHJHADS"/>
          <xsd:enumeration value="MHJHADS - Adult Mental Health Services"/>
          <xsd:enumeration value="MHJHADS - Justice Health Services"/>
          <xsd:enumeration value="MHJHADS - Alcohol and Drug Services"/>
          <xsd:enumeration value="MHJHADS - Child and Adolescent Mental Health Services"/>
          <xsd:enumeration value="MHJHADS - ACT Wide Mental Health Services"/>
          <xsd:enumeration value="Pathology"/>
          <xsd:enumeration value="Rehabilitation, Aged and Community Care"/>
          <xsd:enumeration value="RACC Allied Health Services"/>
          <xsd:enumeration value="RACC Client Support Services"/>
          <xsd:enumeration value="RACC Community Care"/>
          <xsd:enumeration value="RACC Medical Services"/>
          <xsd:enumeration value="RACC Nursing"/>
          <xsd:enumeration value="Surgery and Oral Health"/>
          <xsd:enumeration value="Surgery and Oral Health-Dental Health"/>
          <xsd:enumeration value="Surgery and Oral Health-Medical Imaging"/>
          <xsd:enumeration value="Surgery and Oral Health-Operating Theatres/Recovery"/>
          <xsd:enumeration value="Surgery and Oral Health – Cardiac Surgery"/>
          <xsd:enumeration value="Surgery and Oral Health – Day Surgery Unit and EDSU"/>
          <xsd:enumeration value="Surgery and Oral Health – Dental Health Program"/>
          <xsd:enumeration value="Surgery and Oral Health – ENT"/>
          <xsd:enumeration value="Surgery and Oral Health – Gastroenterology"/>
          <xsd:enumeration value="Surgery and Oral Health – General Surgery"/>
          <xsd:enumeration value="Surgery and Oral Health – Medical Imaging-Angiography"/>
          <xsd:enumeration value="Surgery and Oral Health – Medical Imaging-CT"/>
          <xsd:enumeration value="Surgery and Oral Health – Medical Imaging-General X-Ray"/>
          <xsd:enumeration value="Surgery and Oral Health – Medical Imaging-Mammography"/>
          <xsd:enumeration value="Surgery and Oral Health – Medical Imaging-MRI"/>
          <xsd:enumeration value="Surgery and Oral Health – Medical Imaging-Nuclear Medicine"/>
          <xsd:enumeration value="Surgery and Oral Health – Medical Imaging-PET"/>
          <xsd:enumeration value="Surgery and Oral Health – Medical Imaging-Ultrasound"/>
          <xsd:enumeration value="Surgery and Oral Health – Neurosurgical Services"/>
          <xsd:enumeration value="Surgery and Oral Health – Ophthalmology"/>
          <xsd:enumeration value="Surgery and Oral Health – Oral-Maxillofacial"/>
          <xsd:enumeration value="Surgery and Oral Health – Orthopaedics"/>
          <xsd:enumeration value="Surgery and Oral Health – Pain Management Unit (PMU)"/>
          <xsd:enumeration value="Surgery and Oral Health – Perioperative Services-Anaesthetics"/>
          <xsd:enumeration value="Surgery and Oral Health – Perioperative Services-Operating Rooms"/>
          <xsd:enumeration value="Surgery and Oral Health – Perioperative Services-Patient Flow"/>
          <xsd:enumeration value="Surgery and Oral Health – Plastics"/>
          <xsd:enumeration value="Surgery and Oral Health – Post Anaesthetic Care Unit (PACU)"/>
          <xsd:enumeration value="Surgery and Oral Health – Shock Trauma Service"/>
          <xsd:enumeration value="Surgery and Oral Health – Surgical Bookings and Preadmission Clinic"/>
          <xsd:enumeration value="Surgery and Oral Health – Thoracic Surgery"/>
          <xsd:enumeration value="Surgery and Oral Health – Urology"/>
          <xsd:enumeration value="Surgery and Oral Health – Vascular"/>
          <xsd:enumeration value="Surgery and Oral Health – Wards"/>
          <xsd:enumeration value="Women, Youth and Children"/>
          <xsd:enumeration value="WYC- Centre Newborn Care"/>
          <xsd:enumeration value="WYC- Paediatrics"/>
          <xsd:enumeration value="WYC- Women's and Babies"/>
          <xsd:enumeration value="WYC- Child Youth and Womens Health Program"/>
          <xsd:enumeration value="WYC- Community Health Programs"/>
        </xsd:restriction>
      </xsd:simpleType>
    </xsd:element>
    <xsd:element name="New_x0020_Owner" ma:index="9" nillable="true" ma:displayName="Owner" ma:format="Dropdown" ma:internalName="New_x0020_Owner">
      <xsd:simpleType>
        <xsd:restriction base="dms:Choice">
          <xsd:enumeration value="Business and Infrastructure"/>
          <xsd:enumeration value="Canberra Hospital Foundation"/>
          <xsd:enumeration value="Communications and Marketing"/>
          <xsd:enumeration value="DonateLife"/>
          <xsd:enumeration value="E-health &amp; Clinical Records"/>
          <xsd:enumeration value="Executive Coordination"/>
          <xsd:enumeration value="Financial Management"/>
          <xsd:enumeration value="Human Resource Management"/>
          <xsd:enumeration value="Internal Audit &amp; Risk Manager"/>
          <xsd:enumeration value="Performance &amp; Innovation"/>
          <xsd:enumeration value="Policy and Government Relations"/>
          <xsd:enumeration value="Population Health"/>
          <xsd:enumeration value="Professional Leadership, Research and Education"/>
          <xsd:enumeration value="Quality and Safety"/>
          <xsd:enumeration value="Service &amp; Capital Planning"/>
          <xsd:enumeration value="Operational Support- Acute Support"/>
          <xsd:enumeration value="Operational Support- CH&amp;HS"/>
          <xsd:enumeration value="Operational Support Services- CH&amp;HS"/>
          <xsd:enumeration value="Operational Support Services- Administrative Services"/>
          <xsd:enumeration value="Operational Support Services- Medical Services"/>
          <xsd:enumeration value="Operational Support Services- Medical Services – MDPSU"/>
          <xsd:enumeration value="Operational Support Services- Medical Services – MOSU"/>
          <xsd:enumeration value="Operational Support Services- Nursing&amp;Midwifery"/>
          <xsd:enumeration value="Operational Support Services- Nursing&amp;Midwifery-NIMS"/>
          <xsd:enumeration value="CRCS"/>
          <xsd:enumeration value="CRCS Apheresis"/>
          <xsd:enumeration value="CRCS CHARM"/>
          <xsd:enumeration value="CRCS Client Services Heath Centre Management"/>
          <xsd:enumeration value="CRCS Client Services Community Health Intake"/>
          <xsd:enumeration value="CRCS Executive Support"/>
          <xsd:enumeration value="CRCS Immunology"/>
          <xsd:enumeration value="CRCS Medical"/>
          <xsd:enumeration value="CRCS Nursing"/>
          <xsd:enumeration value="CRCS Radiation Oncology Planning"/>
          <xsd:enumeration value="CRCS Radiation Oncology Treatment"/>
          <xsd:enumeration value="CRCS Radiation Oncology Brachytherapy"/>
          <xsd:enumeration value="CRCS Radiation Oncology Administration"/>
          <xsd:enumeration value="CRCS Radiation Oncology Stereotactic"/>
          <xsd:enumeration value="Critical Care"/>
          <xsd:enumeration value="Critical Care-Emergency Department"/>
          <xsd:enumeration value="Critical Care-Intensive Care"/>
          <xsd:enumeration value="Critical Care-Medical Emergency Team"/>
          <xsd:enumeration value="Emergency Department"/>
          <xsd:enumeration value="Medical Emergency Team"/>
          <xsd:enumeration value="Medicine"/>
          <xsd:enumeration value="Medicine-Chronic Disease Program"/>
          <xsd:enumeration value="Medicine-Immunolog"/>
          <xsd:enumeration value="Medicine-Infection Prevention &amp; Control Unit"/>
          <xsd:enumeration value="Medicine-IVAD team"/>
          <xsd:enumeration value="Medicine-Pharmacy"/>
          <xsd:enumeration value="MHJHADS"/>
          <xsd:enumeration value="MHJHADS - Adult Mental Health Services"/>
          <xsd:enumeration value="MHJHADS - Justice Health Services"/>
          <xsd:enumeration value="MHJHADS - Alcohol and Drug Services"/>
          <xsd:enumeration value="MHJHADS - Child and Adolescent Mental Health Services"/>
          <xsd:enumeration value="MHJHADS - ACT Wide Mental Health Services"/>
          <xsd:enumeration value="Pathology"/>
          <xsd:enumeration value="Rehabilitation, Aged and Community Care"/>
          <xsd:enumeration value="RACC Allied Health Services"/>
          <xsd:enumeration value="RACC Client Support Services"/>
          <xsd:enumeration value="RACC Community Care"/>
          <xsd:enumeration value="RACC Medical Services"/>
          <xsd:enumeration value="RACC Nursing"/>
          <xsd:enumeration value="Surgery and Oral Health"/>
          <xsd:enumeration value="Surgery and Oral Health-Dental Health"/>
          <xsd:enumeration value="Surgery and Oral Health-Medical Imaging"/>
          <xsd:enumeration value="Surgery and Oral Health-Operating Theatres/Recovery"/>
          <xsd:enumeration value="Surgery and Oral Health – Cardiac Surgery"/>
          <xsd:enumeration value="Surgery and Oral Health – Day Surgery Unit and EDSU"/>
          <xsd:enumeration value="Surgery and Oral Health – Dental Health Program"/>
          <xsd:enumeration value="Surgery and Oral Health – ENT"/>
          <xsd:enumeration value="Surgery and Oral Health – Gastroenterology"/>
          <xsd:enumeration value="Surgery and Oral Health – General Surgery"/>
          <xsd:enumeration value="Surgery and Oral Health – Medical Imaging-Angiography"/>
          <xsd:enumeration value="Surgery and Oral Health – Medical Imaging-CT"/>
          <xsd:enumeration value="Surgery and Oral Health – Medical Imaging-General X-Ray"/>
          <xsd:enumeration value="Surgery and Oral Health – Medical Imaging-Mammography"/>
          <xsd:enumeration value="Surgery and Oral Health – Medical Imaging-MRI"/>
          <xsd:enumeration value="Surgery and Oral Health – Medical Imaging-Nuclear Medicine"/>
          <xsd:enumeration value="Surgery and Oral Health – Medical Imaging-PET"/>
          <xsd:enumeration value="Surgery and Oral Health – Medical Imaging-Ultrasound"/>
          <xsd:enumeration value="Surgery and Oral Health – Neurosurgical Services"/>
          <xsd:enumeration value="Surgery and Oral Health – Ophthalmology"/>
          <xsd:enumeration value="Surgery and Oral Health – Oral-Maxillofacial"/>
          <xsd:enumeration value="Surgery and Oral Health – Orthopaedics"/>
          <xsd:enumeration value="Surgery and Oral Health – Pain Management Unit (PMU)"/>
          <xsd:enumeration value="Surgery and Oral Health – Perioperative Services-Anaesthetics"/>
          <xsd:enumeration value="Surgery and Oral Health – Perioperative Services-Operating Rooms"/>
          <xsd:enumeration value="Surgery and Oral Health – Perioperative Services-Patient Flow"/>
          <xsd:enumeration value="Surgery and Oral Health – Plastics"/>
          <xsd:enumeration value="Surgery and Oral Health – Post Anaesthetic Care Unit (PACU)"/>
          <xsd:enumeration value="Surgery and Oral Health – Shock Trauma Service"/>
          <xsd:enumeration value="Surgery and Oral Health – Surgical Bookings and Preadmission Clinic"/>
          <xsd:enumeration value="Surgery and Oral Health – Thoracic Surgery"/>
          <xsd:enumeration value="Surgery and Oral Health – Urology"/>
          <xsd:enumeration value="Surgery and Oral Health – Vascular"/>
          <xsd:enumeration value="Surgery and Oral Health – Wards"/>
          <xsd:enumeration value="Women, Youth and Children"/>
          <xsd:enumeration value="WYC- Centre Newborn Care"/>
          <xsd:enumeration value="WYC- Paediatrics"/>
          <xsd:enumeration value="WYC- Women's and Babies"/>
          <xsd:enumeration value="WYC- Child Youth and Womens Health Program"/>
          <xsd:enumeration value="WYC- Community Health Programs"/>
        </xsd:restriction>
      </xsd:simpleType>
    </xsd:element>
    <xsd:element name="Manager_x0020_Contact" ma:index="10" nillable="true" ma:displayName="Contact Officer's Name" ma:list="UserInfo" ma:internalName="Manager_x0020_Contact"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Document" ma:index="11" nillable="true" ma:displayName="Type of Document" ma:format="Dropdown" ma:internalName="Type_x0020_of_x0020_Document">
      <xsd:simpleType>
        <xsd:restriction base="dms:Choice">
          <xsd:enumeration value="Policy"/>
          <xsd:enumeration value="Standard Operating Procedure (SOP)"/>
          <xsd:enumeration value="Strategy, Framework, Plan"/>
          <xsd:enumeration value="Medication Standing Order (MSO)"/>
          <xsd:enumeration value="Attachment"/>
          <xsd:enumeration value="Guidelines"/>
        </xsd:restriction>
      </xsd:simpleType>
    </xsd:element>
    <xsd:element name="Related_x0020_Documents" ma:index="17" nillable="true" ma:displayName="Related Documents" ma:list="{5632a4c9-a5cb-4633-980a-3b3954ee3155}"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8" nillable="true" ma:displayName="Approval Name|Committee" ma:internalName="Approval_x0020_Name_x007c_Committee">
      <xsd:simpleType>
        <xsd:restriction base="dms:Text">
          <xsd:maxLength value="255"/>
        </xsd:restriction>
      </xsd:simpleType>
    </xsd:element>
    <xsd:element name="Approval_x0020_Date" ma:index="19" nillable="true" ma:displayName="Approval Date" ma:format="DateOnly" ma:internalName="Approval_x0020_Date">
      <xsd:simpleType>
        <xsd:restriction base="dms:DateTime"/>
      </xsd:simpleType>
    </xsd:element>
    <xsd:element name="Display_x0020_on_x0020_Internet" ma:index="20" nillable="true" ma:displayName="Display on Internet" ma:default="0" ma:internalName="Display_x0020_on_x0020_Internet">
      <xsd:simpleType>
        <xsd:restriction base="dms:Boolean"/>
      </xsd:simpleType>
    </xsd:element>
    <xsd:element name="Notes0" ma:index="21" nillable="true" ma:displayName="Notes" ma:internalName="Notes0">
      <xsd:simpleType>
        <xsd:restriction base="dms:Note"/>
      </xsd:simpleType>
    </xsd:element>
    <xsd:element name="Progress" ma:index="22" nillable="true" ma:displayName="Progress" ma:internalName="Progress">
      <xsd:simpleType>
        <xsd:restriction base="dms:Note"/>
      </xsd:simpleType>
    </xsd:element>
    <xsd:element name="_dlc_Exempt" ma:index="32"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ma:readOnly="true"/>
        <xsd:element ref="dc:title" minOccurs="0" maxOccurs="1" ma:index="1" ma:displayName="Title"/>
        <xsd:element ref="dc:subject" minOccurs="0" maxOccurs="1" ma:index="31"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7E31D-A070-4688-9BAA-993BFA48978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5632a4c9-a5cb-4633-980a-3b3954ee3155"/>
    <ds:schemaRef ds:uri="http://schemas.openxmlformats.org/package/2006/metadata/core-properties"/>
  </ds:schemaRefs>
</ds:datastoreItem>
</file>

<file path=customXml/itemProps2.xml><?xml version="1.0" encoding="utf-8"?>
<ds:datastoreItem xmlns:ds="http://schemas.openxmlformats.org/officeDocument/2006/customXml" ds:itemID="{4FA21A95-019C-4B50-A131-D5CDB1532406}">
  <ds:schemaRefs>
    <ds:schemaRef ds:uri="http://schemas.microsoft.com/sharepoint/v3/contenttype/forms"/>
  </ds:schemaRefs>
</ds:datastoreItem>
</file>

<file path=customXml/itemProps3.xml><?xml version="1.0" encoding="utf-8"?>
<ds:datastoreItem xmlns:ds="http://schemas.openxmlformats.org/officeDocument/2006/customXml" ds:itemID="{6ABD0548-E201-4DDA-853A-8DECC59C50C4}">
  <ds:schemaRefs>
    <ds:schemaRef ds:uri="office.server.policy"/>
  </ds:schemaRefs>
</ds:datastoreItem>
</file>

<file path=customXml/itemProps4.xml><?xml version="1.0" encoding="utf-8"?>
<ds:datastoreItem xmlns:ds="http://schemas.openxmlformats.org/officeDocument/2006/customXml" ds:itemID="{CACD95F7-1380-497E-80BD-A2B8B8C61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32a4c9-a5cb-4633-980a-3b3954ee31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BC0EE50-2469-46CC-A078-6C2F4CA6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2040</Words>
  <Characters>12460</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Policy Template</vt:lpstr>
    </vt:vector>
  </TitlesOfParts>
  <Company>ACT Government</Company>
  <LinksUpToDate>false</LinksUpToDate>
  <CharactersWithSpaces>14472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Medical and Dental Practitioners - Appointment and Credentialing Policy</dc:title>
  <dc:subject>14;#Governance;#12;#Human Resources;#22;#Risk Management</dc:subject>
  <dc:creator>elaine jefford</dc:creator>
  <cp:lastModifiedBy>heidi martin</cp:lastModifiedBy>
  <cp:revision>2</cp:revision>
  <cp:lastPrinted>2013-05-02T03:45:00Z</cp:lastPrinted>
  <dcterms:created xsi:type="dcterms:W3CDTF">2013-05-02T03:45:00Z</dcterms:created>
  <dcterms:modified xsi:type="dcterms:W3CDTF">2013-05-02T03:45:00Z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0x0101000DFC1FC4E208934B98EDF4DDEFED00E4</vt:lpwstr>
  </property>
  <property fmtid="{D5CDD505-2E9C-101B-9397-08002B2CF9AE}" pid="3" name="Order">
    <vt:r8>176700</vt:r8>
  </property>
  <property fmtid="{D5CDD505-2E9C-101B-9397-08002B2CF9AE}" pid="4" name="Associated Owner">
    <vt:lpwstr>Chief Executive</vt:lpwstr>
  </property>
  <property fmtid="{D5CDD505-2E9C-101B-9397-08002B2CF9AE}" pid="5" name="Area or Owner">
    <vt:lpwstr>ACT Health-Wide</vt:lpwstr>
  </property>
  <property fmtid="{D5CDD505-2E9C-101B-9397-08002B2CF9AE}" pid="6" name="Manager Contact">
    <vt:lpwstr/>
  </property>
  <property fmtid="{D5CDD505-2E9C-101B-9397-08002B2CF9AE}" pid="7" name="Type of Document">
    <vt:lpwstr>Template</vt:lpwstr>
  </property>
  <property fmtid="{D5CDD505-2E9C-101B-9397-08002B2CF9AE}" pid="8" name="Version Number">
    <vt:lpwstr>1.1</vt:lpwstr>
  </property>
  <property fmtid="{D5CDD505-2E9C-101B-9397-08002B2CF9AE}" pid="9" name="Approval Date">
    <vt:lpwstr>2010-12-15T13:00:00+00:00</vt:lpwstr>
  </property>
  <property fmtid="{D5CDD505-2E9C-101B-9397-08002B2CF9AE}" pid="10" name="Review Date">
    <vt:lpwstr>2012-11-30T13:00:00+00:00</vt:lpwstr>
  </property>
  <property fmtid="{D5CDD505-2E9C-101B-9397-08002B2CF9AE}" pid="11" name="Description0">
    <vt:lpwstr>The Framework outlines a single policy management framework for the management of frameworks, policies and standard operating procedures (SOP’s) and guidelines (collectively referred to within this document as policy documents). </vt:lpwstr>
  </property>
  <property fmtid="{D5CDD505-2E9C-101B-9397-08002B2CF9AE}" pid="12" name="Related Documents">
    <vt:lpwstr>15481768</vt:lpwstr>
  </property>
  <property fmtid="{D5CDD505-2E9C-101B-9397-08002B2CF9AE}" pid="13" name="Status">
    <vt:lpwstr>Approved</vt:lpwstr>
  </property>
  <property fmtid="{D5CDD505-2E9C-101B-9397-08002B2CF9AE}" pid="14" name="Decision Number">
    <vt:lpwstr>CED09-001</vt:lpwstr>
  </property>
  <property fmtid="{D5CDD505-2E9C-101B-9397-08002B2CF9AE}" pid="15" name="New Owner">
    <vt:lpwstr>Quality and Safety</vt:lpwstr>
  </property>
  <property fmtid="{D5CDD505-2E9C-101B-9397-08002B2CF9AE}" pid="16" name="Further Consideration">
    <vt:bool>true</vt:bool>
  </property>
  <property fmtid="{D5CDD505-2E9C-101B-9397-08002B2CF9AE}" pid="17" name="Display on Internet">
    <vt:lpwstr>false</vt:lpwstr>
  </property>
  <property fmtid="{D5CDD505-2E9C-101B-9397-08002B2CF9AE}" pid="18" name="Key Words">
    <vt:lpwstr>Act Health Policy Management Framework Policy Templates</vt:lpwstr>
  </property>
  <property fmtid="{D5CDD505-2E9C-101B-9397-08002B2CF9AE}" pid="19" name="New Applies To">
    <vt:lpwstr>Health-Wide</vt:lpwstr>
  </property>
  <property fmtid="{D5CDD505-2E9C-101B-9397-08002B2CF9AE}" pid="20" name="Today">
    <vt:lpwstr>2013-04-18T22:55:47+00:00</vt:lpwstr>
  </property>
</Properties>
</file>